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B3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航空文旅头片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广告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投放项目采购需求</w:t>
      </w:r>
    </w:p>
    <w:p w14:paraId="1F817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eastAsia="zh-CN"/>
        </w:rPr>
      </w:pPr>
    </w:p>
    <w:p w14:paraId="189C7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一、投放规模与参数</w:t>
      </w:r>
    </w:p>
    <w:p w14:paraId="37123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（一）飞机数量：10架。</w:t>
      </w:r>
    </w:p>
    <w:p w14:paraId="64755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（二）头片数量：合计不少于1280张。</w:t>
      </w:r>
    </w:p>
    <w:p w14:paraId="2568A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（三）头片规格：短头片（公务舱）210×240mm、长头片（经济舱）450×240mm。</w:t>
      </w:r>
    </w:p>
    <w:p w14:paraId="556C1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（四）头片材质：涤纶。</w:t>
      </w:r>
    </w:p>
    <w:p w14:paraId="27A2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（五）投放周期：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不少于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3个月。</w:t>
      </w:r>
    </w:p>
    <w:p w14:paraId="28D9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（六）航班执行量：10架飞机航班执行总量不少于3500架次。</w:t>
      </w:r>
    </w:p>
    <w:p w14:paraId="06736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（七）覆盖旅客人次：不少于3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万人次。</w:t>
      </w:r>
    </w:p>
    <w:p w14:paraId="0DD1C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二、投放航线要求</w:t>
      </w:r>
    </w:p>
    <w:p w14:paraId="31DC8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投放须覆盖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不少于10个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国内核心客源城市航线。供应商应根据航线班次密度合理分配头片投放资源，确保重点客源城市航线获得充分曝光。</w:t>
      </w:r>
    </w:p>
    <w:p w14:paraId="6C042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三、头片设计要求</w:t>
      </w:r>
    </w:p>
    <w:p w14:paraId="4C986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（一）设计主题：围绕“雪域古城·圣地拉萨”品牌，展现拉萨自然风光、人文风情、城市风貌等文旅元素。</w:t>
      </w:r>
    </w:p>
    <w:p w14:paraId="301D0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（二）设计内容：须包含拉萨文旅品牌标识、主题口号、视觉主图及二维码（可引导乘客关注“拉萨文旅”微信公众号或获取更多文旅信息）。</w:t>
      </w:r>
    </w:p>
    <w:p w14:paraId="4B7BE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（三）设计规格：须符合短头片（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不小于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210×240mm）和长头片（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不小于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450×240mm）两种尺寸的印制要求。</w:t>
      </w:r>
    </w:p>
    <w:p w14:paraId="461E5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（四）设计交付：供应商须在合同签订后5个工作日内提交头片设计稿，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样品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经采购人审核确认后方可投入制作。</w:t>
      </w:r>
    </w:p>
    <w:p w14:paraId="125E3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四、制作与安装要求</w:t>
      </w:r>
    </w:p>
    <w:p w14:paraId="20943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（一）头片制作须采用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优质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涤纶材质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/其他优质头片材质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，印刷清晰、色彩准确，符合航空安全标准。</w:t>
      </w:r>
    </w:p>
    <w:p w14:paraId="62FD9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（二）供应商须负责头片的制作、配送及在10架飞机上的安装铺设工作。</w:t>
      </w:r>
    </w:p>
    <w:p w14:paraId="03A30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（三）投放期间如发生头片破损、污损等情况，供应商须及时进行更换维护。</w:t>
      </w:r>
    </w:p>
    <w:p w14:paraId="56A66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五、附赠权益要求</w:t>
      </w:r>
    </w:p>
    <w:p w14:paraId="542A3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供应商须在方案中提供附赠权益，至少满足以下一项或多项：</w:t>
      </w:r>
    </w:p>
    <w:p w14:paraId="4514F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（一）延长刊播时间：实际刊播不少于100天（在3个月基础之上适当延长）。</w:t>
      </w:r>
    </w:p>
    <w:p w14:paraId="7335A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（二）主题航班活动：在投放期间组织不少于1次“雪域古城·云端之旅”主题航班活动，含舱内氛围布置、特色广播、互动礼品派发等环节。</w:t>
      </w:r>
    </w:p>
    <w:p w14:paraId="287DB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（三）其他增值服务：如机上视频配合播放、机上杂志内页宣传、登机牌广告等，具体由供应商在方案中提出。</w:t>
      </w:r>
    </w:p>
    <w:p w14:paraId="5C05F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六、数据监测与效果评估</w:t>
      </w:r>
    </w:p>
    <w:p w14:paraId="30354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（一）供应商须在投放期间提供数据监测服务，包括但不限于：航班执行数据、覆盖旅客人次统计、头片安装与维护记录等。</w:t>
      </w:r>
    </w:p>
    <w:p w14:paraId="43FD6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（二）投放结束后7个工作日内，供应商须提交完整的投放效果评估报告，含投放执行情况、覆盖人次分析、传播效果总结及改进建议。</w:t>
      </w:r>
    </w:p>
    <w:p w14:paraId="1D030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七、知识产权</w:t>
      </w:r>
    </w:p>
    <w:p w14:paraId="7340E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（一）活动期间产生的所有设计成果（头片设计稿、主题视觉等）的著作权归采购人所有。</w:t>
      </w:r>
    </w:p>
    <w:p w14:paraId="35CDC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（二）供应商须确保头片设计不侵犯任何第三方知识产权，并承担由此产生的全部法律责任。</w:t>
      </w:r>
    </w:p>
    <w:p w14:paraId="521CC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eastAsia="zh-CN"/>
        </w:rPr>
      </w:pPr>
      <w:r>
        <w:rPr>
          <w:rFonts w:hint="default" w:ascii="黑体" w:hAnsi="黑体" w:eastAsia="黑体" w:cs="黑体"/>
          <w:sz w:val="32"/>
          <w:szCs w:val="40"/>
        </w:rPr>
        <w:t>八、服务团队</w:t>
      </w:r>
    </w:p>
    <w:p w14:paraId="1DC7F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需配备项目经理、设计、安装维护、数据监测等专职人员，总人数不少于3人。</w:t>
      </w:r>
    </w:p>
    <w:p w14:paraId="2ACAAC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1EF3DC-2BB5-459D-9E22-528D8604D1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663C1E1-6EF1-4511-89C4-95D2931D920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0FFFFDF-D568-406C-B74A-E322694F405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F91A997-740E-410C-BD36-23D2F0900D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234F0"/>
    <w:rsid w:val="33C2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2026-08-07T07:41:00Z</dcterms:created>
  <dc:creator>树上黄鹂</dc:creator>
  <cp:lastModifiedBy>树上黄鹂</cp:lastModifiedBy>
  <dcterms:modified xsi:type="dcterms:W3CDTF">2026-08-07T07:41:38Z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CECF78780A3841E9AB04608B8295DEB1_11</vt:lpwstr>
  </property>
  <property fmtid="{D5CDD505-2E9C-101B-9397-08002B2CF9AE}" pid="4" name="KSOTemplateDocerSaveRecord">
    <vt:lpwstr>eyJoZGlkIjoiN2YzNjBkOTgyNWQ1YTMxYzM3MzMwNWFiODNmOWIzYWMiLCJ1c2VySWQiOiIyMjM1Mzc1NzMifQ==</vt:lpwstr>
  </property>
</Properties>
</file>