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3CC9">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40"/>
          <w:lang w:eastAsia="zh-CN"/>
        </w:rPr>
      </w:pPr>
      <w:bookmarkStart w:id="0" w:name="_GoBack"/>
      <w:bookmarkEnd w:id="0"/>
    </w:p>
    <w:p w14:paraId="1C5DC8E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公文小标宋" w:hAnsi="方正公文小标宋" w:eastAsia="方正公文小标宋" w:cs="方正公文小标宋"/>
          <w:sz w:val="44"/>
          <w:szCs w:val="52"/>
        </w:rPr>
      </w:pPr>
      <w:r>
        <w:rPr>
          <w:rFonts w:hint="eastAsia" w:ascii="方正公文小标宋" w:hAnsi="方正公文小标宋" w:eastAsia="方正公文小标宋" w:cs="方正公文小标宋"/>
          <w:sz w:val="44"/>
          <w:szCs w:val="52"/>
        </w:rPr>
        <w:t>航空文旅头片</w:t>
      </w:r>
      <w:r>
        <w:rPr>
          <w:rFonts w:hint="eastAsia" w:ascii="方正公文小标宋" w:hAnsi="方正公文小标宋" w:eastAsia="方正公文小标宋" w:cs="方正公文小标宋"/>
          <w:sz w:val="44"/>
          <w:szCs w:val="52"/>
          <w:lang w:val="en-US" w:eastAsia="zh-CN"/>
        </w:rPr>
        <w:t>广告</w:t>
      </w:r>
      <w:r>
        <w:rPr>
          <w:rFonts w:hint="eastAsia" w:ascii="方正公文小标宋" w:hAnsi="方正公文小标宋" w:eastAsia="方正公文小标宋" w:cs="方正公文小标宋"/>
          <w:sz w:val="44"/>
          <w:szCs w:val="52"/>
        </w:rPr>
        <w:t>投放项目评分细则</w:t>
      </w:r>
    </w:p>
    <w:p w14:paraId="09F46B3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公文小标宋" w:hAnsi="方正公文小标宋" w:eastAsia="方正公文小标宋" w:cs="方正公文小标宋"/>
          <w:sz w:val="44"/>
          <w:szCs w:val="52"/>
          <w:lang w:eastAsia="zh-CN"/>
        </w:rPr>
      </w:pPr>
    </w:p>
    <w:p w14:paraId="77627F7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40"/>
          <w:lang w:eastAsia="zh-CN"/>
        </w:rPr>
      </w:pPr>
      <w:r>
        <w:rPr>
          <w:rFonts w:hint="eastAsia" w:ascii="黑体" w:hAnsi="黑体" w:eastAsia="黑体" w:cs="黑体"/>
          <w:sz w:val="32"/>
          <w:szCs w:val="40"/>
        </w:rPr>
        <w:t>一、报价部分（20分）</w:t>
      </w:r>
    </w:p>
    <w:p w14:paraId="62FE239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以满足采购文件要求的最低有效报价为评审基准价，价格分=（基准价/报价）×20。四舍五入保留两位小数。</w:t>
      </w:r>
    </w:p>
    <w:p w14:paraId="7D29975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40"/>
          <w:lang w:eastAsia="zh-CN"/>
        </w:rPr>
      </w:pPr>
      <w:r>
        <w:rPr>
          <w:rFonts w:hint="default" w:ascii="黑体" w:hAnsi="黑体" w:eastAsia="黑体" w:cs="黑体"/>
          <w:sz w:val="32"/>
          <w:szCs w:val="40"/>
        </w:rPr>
        <w:t>二、商务部分（</w:t>
      </w:r>
      <w:r>
        <w:rPr>
          <w:rFonts w:hint="eastAsia" w:ascii="黑体" w:hAnsi="黑体" w:eastAsia="黑体" w:cs="黑体"/>
          <w:sz w:val="32"/>
          <w:szCs w:val="40"/>
          <w:lang w:val="en-US" w:eastAsia="zh-CN"/>
        </w:rPr>
        <w:t>36</w:t>
      </w:r>
      <w:r>
        <w:rPr>
          <w:rFonts w:hint="default" w:ascii="黑体" w:hAnsi="黑体" w:eastAsia="黑体" w:cs="黑体"/>
          <w:sz w:val="32"/>
          <w:szCs w:val="40"/>
        </w:rPr>
        <w:t>分）</w:t>
      </w:r>
    </w:p>
    <w:p w14:paraId="51699C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楷体_GB2312" w:hAnsi="方正楷体_GB2312" w:eastAsia="方正楷体_GB2312" w:cs="方正楷体_GB2312"/>
          <w:sz w:val="32"/>
          <w:szCs w:val="40"/>
          <w:lang w:eastAsia="zh-CN"/>
        </w:rPr>
      </w:pPr>
      <w:r>
        <w:rPr>
          <w:rFonts w:hint="default" w:ascii="方正楷体_GB2312" w:hAnsi="方正楷体_GB2312" w:eastAsia="方正楷体_GB2312" w:cs="方正楷体_GB2312"/>
          <w:sz w:val="32"/>
          <w:szCs w:val="40"/>
        </w:rPr>
        <w:t>（一）类似项目业绩（</w:t>
      </w:r>
      <w:r>
        <w:rPr>
          <w:rFonts w:hint="eastAsia" w:ascii="方正楷体_GB2312" w:hAnsi="方正楷体_GB2312" w:eastAsia="方正楷体_GB2312" w:cs="方正楷体_GB2312"/>
          <w:sz w:val="32"/>
          <w:szCs w:val="40"/>
          <w:lang w:val="en-US" w:eastAsia="zh-CN"/>
        </w:rPr>
        <w:t>28</w:t>
      </w:r>
      <w:r>
        <w:rPr>
          <w:rFonts w:hint="default" w:ascii="方正楷体_GB2312" w:hAnsi="方正楷体_GB2312" w:eastAsia="方正楷体_GB2312" w:cs="方正楷体_GB2312"/>
          <w:sz w:val="32"/>
          <w:szCs w:val="40"/>
        </w:rPr>
        <w:t>分）</w:t>
      </w:r>
    </w:p>
    <w:p w14:paraId="4D84C71A">
      <w:pPr>
        <w:spacing w:line="576" w:lineRule="exact"/>
        <w:ind w:firstLine="640" w:firstLineChars="200"/>
      </w:pPr>
      <w:r>
        <w:rPr>
          <w:rFonts w:hint="default" w:ascii="Times New Roman" w:hAnsi="Times New Roman" w:eastAsia="方正仿宋_GBK" w:cs="Times New Roman"/>
          <w:color w:val="auto"/>
          <w:sz w:val="32"/>
          <w:szCs w:val="40"/>
        </w:rPr>
        <w:t>近三年承办过</w:t>
      </w:r>
      <w:r>
        <w:rPr>
          <w:rFonts w:hint="eastAsia" w:ascii="方正仿宋_GB2312" w:hAnsi="方正仿宋_GB2312" w:eastAsia="方正仿宋_GB2312" w:cs="方正仿宋_GB2312"/>
          <w:color w:val="auto"/>
          <w:sz w:val="32"/>
          <w:szCs w:val="32"/>
          <w:lang w:val="en-US" w:eastAsia="zh-CN"/>
        </w:rPr>
        <w:t>类似航机投放项目或已与航空公司/航机媒体代理运营商签订媒体资源、合作协议、合作意向书</w:t>
      </w:r>
      <w:r>
        <w:rPr>
          <w:rFonts w:hint="eastAsia"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承办1个得</w:t>
      </w:r>
      <w:r>
        <w:rPr>
          <w:rFonts w:hint="eastAsia" w:ascii="Times New Roman" w:hAnsi="Times New Roman" w:eastAsia="方正仿宋_GBK" w:cs="Times New Roman"/>
          <w:color w:val="auto"/>
          <w:sz w:val="32"/>
          <w:szCs w:val="40"/>
          <w:lang w:val="en-US" w:eastAsia="zh-CN"/>
        </w:rPr>
        <w:t>7</w:t>
      </w:r>
      <w:r>
        <w:rPr>
          <w:rFonts w:hint="default" w:ascii="Times New Roman" w:hAnsi="Times New Roman" w:eastAsia="方正仿宋_GBK" w:cs="Times New Roman"/>
          <w:color w:val="auto"/>
          <w:sz w:val="32"/>
          <w:szCs w:val="40"/>
        </w:rPr>
        <w:t>分；本项最高得</w:t>
      </w:r>
      <w:r>
        <w:rPr>
          <w:rFonts w:hint="eastAsia" w:ascii="Times New Roman" w:hAnsi="Times New Roman" w:eastAsia="方正仿宋_GBK" w:cs="Times New Roman"/>
          <w:color w:val="auto"/>
          <w:sz w:val="32"/>
          <w:szCs w:val="40"/>
          <w:lang w:val="en-US" w:eastAsia="zh-CN"/>
        </w:rPr>
        <w:t>28</w:t>
      </w:r>
      <w:r>
        <w:rPr>
          <w:rFonts w:hint="default" w:ascii="Times New Roman" w:hAnsi="Times New Roman" w:eastAsia="方正仿宋_GBK" w:cs="Times New Roman"/>
          <w:color w:val="auto"/>
          <w:sz w:val="32"/>
          <w:szCs w:val="40"/>
        </w:rPr>
        <w:t>分。</w:t>
      </w:r>
      <w:r>
        <w:commentReference w:id="0"/>
      </w:r>
    </w:p>
    <w:p w14:paraId="3A1C541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注：需提供合同关键页或中标/成交通知书</w:t>
      </w:r>
      <w:r>
        <w:rPr>
          <w:rFonts w:hint="eastAsia" w:ascii="Times New Roman" w:hAnsi="Times New Roman" w:eastAsia="方正仿宋_GBK" w:cs="Times New Roman"/>
          <w:sz w:val="32"/>
          <w:szCs w:val="40"/>
          <w:lang w:val="en-US" w:eastAsia="zh-CN"/>
        </w:rPr>
        <w:t>/合作协议/意向书等</w:t>
      </w:r>
      <w:r>
        <w:rPr>
          <w:rFonts w:hint="default" w:ascii="Times New Roman" w:hAnsi="Times New Roman" w:eastAsia="方正仿宋_GBK" w:cs="Times New Roman"/>
          <w:sz w:val="32"/>
          <w:szCs w:val="40"/>
        </w:rPr>
        <w:t>复印件并加盖公章。</w:t>
      </w:r>
    </w:p>
    <w:p w14:paraId="6AA6033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楷体_GB2312" w:hAnsi="方正楷体_GB2312" w:eastAsia="方正楷体_GB2312" w:cs="方正楷体_GB2312"/>
          <w:sz w:val="32"/>
          <w:szCs w:val="40"/>
          <w:lang w:eastAsia="zh-CN"/>
        </w:rPr>
      </w:pPr>
      <w:r>
        <w:rPr>
          <w:rFonts w:hint="default" w:ascii="方正楷体_GB2312" w:hAnsi="方正楷体_GB2312" w:eastAsia="方正楷体_GB2312" w:cs="方正楷体_GB2312"/>
          <w:sz w:val="32"/>
          <w:szCs w:val="40"/>
        </w:rPr>
        <w:t>（</w:t>
      </w:r>
      <w:r>
        <w:rPr>
          <w:rFonts w:hint="eastAsia" w:ascii="方正楷体_GB2312" w:hAnsi="方正楷体_GB2312" w:eastAsia="方正楷体_GB2312" w:cs="方正楷体_GB2312"/>
          <w:sz w:val="32"/>
          <w:szCs w:val="40"/>
          <w:lang w:val="en-US" w:eastAsia="zh-CN"/>
        </w:rPr>
        <w:t>二</w:t>
      </w:r>
      <w:r>
        <w:rPr>
          <w:rFonts w:hint="default" w:ascii="方正楷体_GB2312" w:hAnsi="方正楷体_GB2312" w:eastAsia="方正楷体_GB2312" w:cs="方正楷体_GB2312"/>
          <w:sz w:val="32"/>
          <w:szCs w:val="40"/>
        </w:rPr>
        <w:t>）项目团队配置（</w:t>
      </w:r>
      <w:r>
        <w:rPr>
          <w:rFonts w:hint="eastAsia" w:ascii="方正楷体_GB2312" w:hAnsi="方正楷体_GB2312" w:eastAsia="方正楷体_GB2312" w:cs="方正楷体_GB2312"/>
          <w:sz w:val="32"/>
          <w:szCs w:val="40"/>
          <w:lang w:val="en-US" w:eastAsia="zh-CN"/>
        </w:rPr>
        <w:t>8</w:t>
      </w:r>
      <w:r>
        <w:rPr>
          <w:rFonts w:hint="default" w:ascii="方正楷体_GB2312" w:hAnsi="方正楷体_GB2312" w:eastAsia="方正楷体_GB2312" w:cs="方正楷体_GB2312"/>
          <w:sz w:val="32"/>
          <w:szCs w:val="40"/>
        </w:rPr>
        <w:t>分）</w:t>
      </w:r>
    </w:p>
    <w:p w14:paraId="0F40CD8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1.项目负责人具有3年以上航机媒体或文旅宣传项目经验（需提供简历或项目履历证明），得4分。</w:t>
      </w:r>
    </w:p>
    <w:p w14:paraId="4FAE247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3.团队成员配置合理，需至少包含设计、安装维护、数据监测等岗位，总人数不少于3人，并提供人员名单及分工说明，得2分。团队人数不少于5人，得</w:t>
      </w:r>
      <w:r>
        <w:rPr>
          <w:rFonts w:hint="eastAsia" w:ascii="Times New Roman" w:hAnsi="Times New Roman" w:eastAsia="方正仿宋_GBK" w:cs="Times New Roman"/>
          <w:sz w:val="32"/>
          <w:szCs w:val="40"/>
          <w:lang w:val="en-US" w:eastAsia="zh-CN"/>
        </w:rPr>
        <w:t>4</w:t>
      </w:r>
      <w:r>
        <w:rPr>
          <w:rFonts w:hint="default" w:ascii="Times New Roman" w:hAnsi="Times New Roman" w:eastAsia="方正仿宋_GBK" w:cs="Times New Roman"/>
          <w:sz w:val="32"/>
          <w:szCs w:val="40"/>
        </w:rPr>
        <w:t>分。团队人数不足3人或缺少关键岗位，本项不得分。</w:t>
      </w:r>
    </w:p>
    <w:p w14:paraId="4C74B4C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黑体" w:hAnsi="黑体" w:eastAsia="黑体" w:cs="黑体"/>
          <w:sz w:val="32"/>
          <w:szCs w:val="40"/>
          <w:lang w:eastAsia="zh-CN"/>
        </w:rPr>
      </w:pPr>
      <w:r>
        <w:rPr>
          <w:rFonts w:hint="default" w:ascii="黑体" w:hAnsi="黑体" w:eastAsia="黑体" w:cs="黑体"/>
          <w:sz w:val="32"/>
          <w:szCs w:val="40"/>
        </w:rPr>
        <w:t>三、技术部分（</w:t>
      </w:r>
      <w:r>
        <w:rPr>
          <w:rFonts w:hint="eastAsia" w:ascii="黑体" w:hAnsi="黑体" w:eastAsia="黑体" w:cs="黑体"/>
          <w:sz w:val="32"/>
          <w:szCs w:val="40"/>
          <w:lang w:val="en-US" w:eastAsia="zh-CN"/>
        </w:rPr>
        <w:t>44</w:t>
      </w:r>
      <w:r>
        <w:rPr>
          <w:rFonts w:hint="default" w:ascii="黑体" w:hAnsi="黑体" w:eastAsia="黑体" w:cs="黑体"/>
          <w:sz w:val="32"/>
          <w:szCs w:val="40"/>
        </w:rPr>
        <w:t>分）</w:t>
      </w:r>
    </w:p>
    <w:p w14:paraId="019E01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楷体_GB2312" w:hAnsi="方正楷体_GB2312" w:eastAsia="方正楷体_GB2312" w:cs="方正楷体_GB2312"/>
          <w:sz w:val="32"/>
          <w:szCs w:val="40"/>
          <w:lang w:eastAsia="zh-CN"/>
        </w:rPr>
      </w:pPr>
      <w:r>
        <w:rPr>
          <w:rFonts w:hint="default" w:ascii="方正楷体_GB2312" w:hAnsi="方正楷体_GB2312" w:eastAsia="方正楷体_GB2312" w:cs="方正楷体_GB2312"/>
          <w:sz w:val="32"/>
          <w:szCs w:val="40"/>
        </w:rPr>
        <w:t>（一）投放策划方案（</w:t>
      </w:r>
      <w:r>
        <w:rPr>
          <w:rFonts w:hint="eastAsia" w:ascii="方正楷体_GB2312" w:hAnsi="方正楷体_GB2312" w:eastAsia="方正楷体_GB2312" w:cs="方正楷体_GB2312"/>
          <w:sz w:val="32"/>
          <w:szCs w:val="40"/>
          <w:lang w:val="en-US" w:eastAsia="zh-CN"/>
        </w:rPr>
        <w:t>18</w:t>
      </w:r>
      <w:r>
        <w:rPr>
          <w:rFonts w:hint="default" w:ascii="方正楷体_GB2312" w:hAnsi="方正楷体_GB2312" w:eastAsia="方正楷体_GB2312" w:cs="方正楷体_GB2312"/>
          <w:sz w:val="32"/>
          <w:szCs w:val="40"/>
        </w:rPr>
        <w:t>分）</w:t>
      </w:r>
    </w:p>
    <w:p w14:paraId="65A82CE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1.完整性、可行性（</w:t>
      </w:r>
      <w:r>
        <w:rPr>
          <w:rFonts w:hint="eastAsia" w:ascii="Times New Roman" w:hAnsi="Times New Roman" w:eastAsia="方正仿宋_GBK" w:cs="Times New Roman"/>
          <w:sz w:val="32"/>
          <w:szCs w:val="40"/>
          <w:lang w:val="en-US" w:eastAsia="zh-CN"/>
        </w:rPr>
        <w:t>6</w:t>
      </w:r>
      <w:r>
        <w:rPr>
          <w:rFonts w:hint="default" w:ascii="Times New Roman" w:hAnsi="Times New Roman" w:eastAsia="方正仿宋_GBK" w:cs="Times New Roman"/>
          <w:sz w:val="32"/>
          <w:szCs w:val="40"/>
        </w:rPr>
        <w:t>分）：方案包含航线选择、排期计划、头片设计思路、安装维护流程等要素，逻辑清晰、切实可行得</w:t>
      </w:r>
      <w:r>
        <w:rPr>
          <w:rFonts w:hint="eastAsia" w:ascii="Times New Roman" w:hAnsi="Times New Roman" w:eastAsia="方正仿宋_GBK" w:cs="Times New Roman"/>
          <w:sz w:val="32"/>
          <w:szCs w:val="40"/>
          <w:lang w:val="en-US" w:eastAsia="zh-CN"/>
        </w:rPr>
        <w:t>5-6</w:t>
      </w:r>
      <w:r>
        <w:rPr>
          <w:rFonts w:hint="default" w:ascii="Times New Roman" w:hAnsi="Times New Roman" w:eastAsia="方正仿宋_GBK" w:cs="Times New Roman"/>
          <w:sz w:val="32"/>
          <w:szCs w:val="40"/>
        </w:rPr>
        <w:t>分；要素较简略得</w:t>
      </w:r>
      <w:r>
        <w:rPr>
          <w:rFonts w:hint="eastAsia" w:ascii="Times New Roman" w:hAnsi="Times New Roman" w:eastAsia="方正仿宋_GBK" w:cs="Times New Roman"/>
          <w:sz w:val="32"/>
          <w:szCs w:val="40"/>
          <w:lang w:val="en-US" w:eastAsia="zh-CN"/>
        </w:rPr>
        <w:t>2-4</w:t>
      </w:r>
      <w:r>
        <w:rPr>
          <w:rFonts w:hint="default" w:ascii="Times New Roman" w:hAnsi="Times New Roman" w:eastAsia="方正仿宋_GBK" w:cs="Times New Roman"/>
          <w:sz w:val="32"/>
          <w:szCs w:val="40"/>
        </w:rPr>
        <w:t>分；要素少于3项或存在明显漏洞得</w:t>
      </w:r>
      <w:r>
        <w:rPr>
          <w:rFonts w:hint="eastAsia" w:ascii="Times New Roman" w:hAnsi="Times New Roman" w:eastAsia="方正仿宋_GBK" w:cs="Times New Roman"/>
          <w:sz w:val="32"/>
          <w:szCs w:val="40"/>
          <w:lang w:val="en-US" w:eastAsia="zh-CN"/>
        </w:rPr>
        <w:t>0-1</w:t>
      </w:r>
      <w:r>
        <w:rPr>
          <w:rFonts w:hint="default" w:ascii="Times New Roman" w:hAnsi="Times New Roman" w:eastAsia="方正仿宋_GBK" w:cs="Times New Roman"/>
          <w:sz w:val="32"/>
          <w:szCs w:val="40"/>
        </w:rPr>
        <w:t>分。</w:t>
      </w:r>
    </w:p>
    <w:p w14:paraId="23B506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2.航线覆盖与排期（</w:t>
      </w:r>
      <w:r>
        <w:rPr>
          <w:rFonts w:hint="eastAsia" w:ascii="Times New Roman" w:hAnsi="Times New Roman" w:eastAsia="方正仿宋_GBK" w:cs="Times New Roman"/>
          <w:sz w:val="32"/>
          <w:szCs w:val="40"/>
          <w:lang w:val="en-US" w:eastAsia="zh-CN"/>
        </w:rPr>
        <w:t>10</w:t>
      </w:r>
      <w:r>
        <w:rPr>
          <w:rFonts w:hint="default" w:ascii="Times New Roman" w:hAnsi="Times New Roman" w:eastAsia="方正仿宋_GBK" w:cs="Times New Roman"/>
          <w:sz w:val="32"/>
          <w:szCs w:val="40"/>
        </w:rPr>
        <w:t>分）根据供应商方案中承诺覆盖的航线城市数量及核心客源城市的匹配度进行评分。能完整覆盖北京、上海、广州、深圳、南京、重庆、武汉、西安、厦门、三亚、成都</w:t>
      </w:r>
      <w:r>
        <w:rPr>
          <w:rFonts w:hint="eastAsia" w:ascii="Times New Roman" w:hAnsi="Times New Roman" w:eastAsia="方正仿宋_GBK" w:cs="Times New Roman"/>
          <w:sz w:val="32"/>
          <w:szCs w:val="40"/>
          <w:lang w:val="en-US" w:eastAsia="zh-CN"/>
        </w:rPr>
        <w:t>等</w:t>
      </w:r>
      <w:r>
        <w:rPr>
          <w:rFonts w:hint="default" w:ascii="Times New Roman" w:hAnsi="Times New Roman" w:eastAsia="方正仿宋_GBK" w:cs="Times New Roman"/>
          <w:sz w:val="32"/>
          <w:szCs w:val="40"/>
        </w:rPr>
        <w:t>城市且航线排期合理得</w:t>
      </w:r>
      <w:r>
        <w:rPr>
          <w:rFonts w:hint="eastAsia" w:ascii="Times New Roman" w:hAnsi="Times New Roman" w:eastAsia="方正仿宋_GBK" w:cs="Times New Roman"/>
          <w:sz w:val="32"/>
          <w:szCs w:val="40"/>
          <w:lang w:val="en-US" w:eastAsia="zh-CN"/>
        </w:rPr>
        <w:t>8-10</w:t>
      </w:r>
      <w:r>
        <w:rPr>
          <w:rFonts w:hint="default" w:ascii="Times New Roman" w:hAnsi="Times New Roman" w:eastAsia="方正仿宋_GBK" w:cs="Times New Roman"/>
          <w:sz w:val="32"/>
          <w:szCs w:val="40"/>
        </w:rPr>
        <w:t>分；覆盖</w:t>
      </w:r>
      <w:r>
        <w:rPr>
          <w:rFonts w:hint="eastAsia" w:ascii="Times New Roman" w:hAnsi="Times New Roman" w:eastAsia="方正仿宋_GBK" w:cs="Times New Roman"/>
          <w:sz w:val="32"/>
          <w:szCs w:val="40"/>
          <w:lang w:val="en-US" w:eastAsia="zh-CN"/>
        </w:rPr>
        <w:t>其中</w:t>
      </w:r>
      <w:r>
        <w:rPr>
          <w:rFonts w:hint="default" w:ascii="Times New Roman" w:hAnsi="Times New Roman" w:eastAsia="方正仿宋_GBK" w:cs="Times New Roman"/>
          <w:sz w:val="32"/>
          <w:szCs w:val="40"/>
        </w:rPr>
        <w:t>8-10个城市得5-7分；覆盖5-7个城市得2-4分；覆盖城市少于5个得0-1分。同时根据航线排期与航班密度的匹配度酌情加减分</w:t>
      </w:r>
      <w:r>
        <w:rPr>
          <w:rFonts w:hint="eastAsia" w:ascii="Times New Roman" w:hAnsi="Times New Roman" w:eastAsia="方正仿宋_GBK" w:cs="Times New Roman"/>
          <w:sz w:val="32"/>
          <w:szCs w:val="40"/>
          <w:lang w:eastAsia="zh-CN"/>
        </w:rPr>
        <w:t>。</w:t>
      </w:r>
    </w:p>
    <w:p w14:paraId="0504682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3.应急预案（2分）：针对头片破损、航班调整等突发情况有完善的应对预案，得2分；基本完善得1分；无预案得0分。</w:t>
      </w:r>
    </w:p>
    <w:p w14:paraId="56C2E3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楷体_GB2312" w:hAnsi="方正楷体_GB2312" w:eastAsia="方正楷体_GB2312" w:cs="方正楷体_GB2312"/>
          <w:sz w:val="32"/>
          <w:szCs w:val="40"/>
          <w:lang w:eastAsia="zh-CN"/>
        </w:rPr>
      </w:pPr>
      <w:r>
        <w:rPr>
          <w:rFonts w:hint="default" w:ascii="方正楷体_GB2312" w:hAnsi="方正楷体_GB2312" w:eastAsia="方正楷体_GB2312" w:cs="方正楷体_GB2312"/>
          <w:sz w:val="32"/>
          <w:szCs w:val="40"/>
        </w:rPr>
        <w:t>（二）头片设计方案（</w:t>
      </w:r>
      <w:r>
        <w:rPr>
          <w:rFonts w:hint="eastAsia" w:ascii="方正楷体_GB2312" w:hAnsi="方正楷体_GB2312" w:eastAsia="方正楷体_GB2312" w:cs="方正楷体_GB2312"/>
          <w:sz w:val="32"/>
          <w:szCs w:val="40"/>
          <w:lang w:val="en-US" w:eastAsia="zh-CN"/>
        </w:rPr>
        <w:t>8</w:t>
      </w:r>
      <w:r>
        <w:rPr>
          <w:rFonts w:hint="default" w:ascii="方正楷体_GB2312" w:hAnsi="方正楷体_GB2312" w:eastAsia="方正楷体_GB2312" w:cs="方正楷体_GB2312"/>
          <w:sz w:val="32"/>
          <w:szCs w:val="40"/>
        </w:rPr>
        <w:t>分）</w:t>
      </w:r>
    </w:p>
    <w:p w14:paraId="1E059E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1.创意与视觉效果（4分）：设计方案紧扣“雪域古城·圣地拉萨”主题，视觉冲击力强，品牌标识突出得4分；设计一般得2-3分；设计粗糙或偏离主题得0-1分。</w:t>
      </w:r>
    </w:p>
    <w:p w14:paraId="2F07D9A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2.规格适配与完整性（</w:t>
      </w:r>
      <w:r>
        <w:rPr>
          <w:rFonts w:hint="eastAsia" w:ascii="Times New Roman" w:hAnsi="Times New Roman" w:eastAsia="方正仿宋_GBK" w:cs="Times New Roman"/>
          <w:sz w:val="32"/>
          <w:szCs w:val="40"/>
          <w:lang w:val="en-US" w:eastAsia="zh-CN"/>
        </w:rPr>
        <w:t>4</w:t>
      </w:r>
      <w:r>
        <w:rPr>
          <w:rFonts w:hint="default" w:ascii="Times New Roman" w:hAnsi="Times New Roman" w:eastAsia="方正仿宋_GBK" w:cs="Times New Roman"/>
          <w:sz w:val="32"/>
          <w:szCs w:val="40"/>
        </w:rPr>
        <w:t>分）：同时提供短头片（</w:t>
      </w:r>
      <w:r>
        <w:rPr>
          <w:rFonts w:hint="eastAsia" w:ascii="Times New Roman" w:hAnsi="Times New Roman" w:eastAsia="方正仿宋_GBK" w:cs="Times New Roman"/>
          <w:sz w:val="32"/>
          <w:szCs w:val="40"/>
          <w:lang w:val="en-US" w:eastAsia="zh-CN"/>
        </w:rPr>
        <w:t>尺寸不小于</w:t>
      </w:r>
      <w:r>
        <w:rPr>
          <w:rFonts w:hint="default" w:ascii="Times New Roman" w:hAnsi="Times New Roman" w:eastAsia="方正仿宋_GBK" w:cs="Times New Roman"/>
          <w:sz w:val="32"/>
          <w:szCs w:val="40"/>
        </w:rPr>
        <w:t>210×240mm）和长头片（</w:t>
      </w:r>
      <w:r>
        <w:rPr>
          <w:rFonts w:hint="eastAsia" w:ascii="Times New Roman" w:hAnsi="Times New Roman" w:eastAsia="方正仿宋_GBK" w:cs="Times New Roman"/>
          <w:sz w:val="32"/>
          <w:szCs w:val="40"/>
          <w:lang w:val="en-US" w:eastAsia="zh-CN"/>
        </w:rPr>
        <w:t>尺寸不小于</w:t>
      </w:r>
      <w:r>
        <w:rPr>
          <w:rFonts w:hint="default" w:ascii="Times New Roman" w:hAnsi="Times New Roman" w:eastAsia="方正仿宋_GBK" w:cs="Times New Roman"/>
          <w:sz w:val="32"/>
          <w:szCs w:val="40"/>
        </w:rPr>
        <w:t>450×240mm）两种规格的设计样稿，符合印制要求得</w:t>
      </w:r>
      <w:r>
        <w:rPr>
          <w:rFonts w:hint="eastAsia" w:ascii="Times New Roman" w:hAnsi="Times New Roman" w:eastAsia="方正仿宋_GBK" w:cs="Times New Roman"/>
          <w:sz w:val="32"/>
          <w:szCs w:val="40"/>
          <w:lang w:val="en-US" w:eastAsia="zh-CN"/>
        </w:rPr>
        <w:t>4</w:t>
      </w:r>
      <w:r>
        <w:rPr>
          <w:rFonts w:hint="default" w:ascii="Times New Roman" w:hAnsi="Times New Roman" w:eastAsia="方正仿宋_GBK" w:cs="Times New Roman"/>
          <w:sz w:val="32"/>
          <w:szCs w:val="40"/>
        </w:rPr>
        <w:t>分；仅提供一种规格得2分；未提供样稿得0分。</w:t>
      </w:r>
    </w:p>
    <w:p w14:paraId="396891A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楷体_GB2312" w:hAnsi="方正楷体_GB2312" w:eastAsia="方正楷体_GB2312" w:cs="方正楷体_GB2312"/>
          <w:sz w:val="32"/>
          <w:szCs w:val="40"/>
          <w:lang w:eastAsia="zh-CN"/>
        </w:rPr>
      </w:pPr>
      <w:r>
        <w:rPr>
          <w:rFonts w:hint="default" w:ascii="方正楷体_GB2312" w:hAnsi="方正楷体_GB2312" w:eastAsia="方正楷体_GB2312" w:cs="方正楷体_GB2312"/>
          <w:sz w:val="32"/>
          <w:szCs w:val="40"/>
        </w:rPr>
        <w:t>（三）附赠权益方案（</w:t>
      </w:r>
      <w:r>
        <w:rPr>
          <w:rFonts w:hint="eastAsia" w:ascii="方正楷体_GB2312" w:hAnsi="方正楷体_GB2312" w:eastAsia="方正楷体_GB2312" w:cs="方正楷体_GB2312"/>
          <w:sz w:val="32"/>
          <w:szCs w:val="40"/>
          <w:lang w:val="en-US" w:eastAsia="zh-CN"/>
        </w:rPr>
        <w:t>8</w:t>
      </w:r>
      <w:r>
        <w:rPr>
          <w:rFonts w:hint="default" w:ascii="方正楷体_GB2312" w:hAnsi="方正楷体_GB2312" w:eastAsia="方正楷体_GB2312" w:cs="方正楷体_GB2312"/>
          <w:sz w:val="32"/>
          <w:szCs w:val="40"/>
        </w:rPr>
        <w:t>分）</w:t>
      </w:r>
    </w:p>
    <w:p w14:paraId="78C4CA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1.权益内容丰富度（</w:t>
      </w:r>
      <w:r>
        <w:rPr>
          <w:rFonts w:hint="eastAsia" w:ascii="Times New Roman" w:hAnsi="Times New Roman" w:eastAsia="方正仿宋_GBK" w:cs="Times New Roman"/>
          <w:sz w:val="32"/>
          <w:szCs w:val="40"/>
          <w:lang w:val="en-US" w:eastAsia="zh-CN"/>
        </w:rPr>
        <w:t>5</w:t>
      </w:r>
      <w:r>
        <w:rPr>
          <w:rFonts w:hint="default" w:ascii="Times New Roman" w:hAnsi="Times New Roman" w:eastAsia="方正仿宋_GBK" w:cs="Times New Roman"/>
          <w:sz w:val="32"/>
          <w:szCs w:val="40"/>
        </w:rPr>
        <w:t>分）：提供延长刊播、主题航班活动、机上视频、杂志内页等多项附赠权益，内容丰富得</w:t>
      </w:r>
      <w:r>
        <w:rPr>
          <w:rFonts w:hint="eastAsia" w:ascii="Times New Roman" w:hAnsi="Times New Roman" w:eastAsia="方正仿宋_GBK" w:cs="Times New Roman"/>
          <w:sz w:val="32"/>
          <w:szCs w:val="40"/>
          <w:lang w:val="en-US" w:eastAsia="zh-CN"/>
        </w:rPr>
        <w:t>4-5</w:t>
      </w:r>
      <w:r>
        <w:rPr>
          <w:rFonts w:hint="default" w:ascii="Times New Roman" w:hAnsi="Times New Roman" w:eastAsia="方正仿宋_GBK" w:cs="Times New Roman"/>
          <w:sz w:val="32"/>
          <w:szCs w:val="40"/>
        </w:rPr>
        <w:t>分；提供1-2项权益得</w:t>
      </w:r>
      <w:r>
        <w:rPr>
          <w:rFonts w:hint="eastAsia" w:ascii="Times New Roman" w:hAnsi="Times New Roman" w:eastAsia="方正仿宋_GBK" w:cs="Times New Roman"/>
          <w:sz w:val="32"/>
          <w:szCs w:val="40"/>
          <w:lang w:val="en-US" w:eastAsia="zh-CN"/>
        </w:rPr>
        <w:t>2</w:t>
      </w:r>
      <w:r>
        <w:rPr>
          <w:rFonts w:hint="default" w:ascii="Times New Roman" w:hAnsi="Times New Roman" w:eastAsia="方正仿宋_GBK" w:cs="Times New Roman"/>
          <w:sz w:val="32"/>
          <w:szCs w:val="40"/>
        </w:rPr>
        <w:t>-</w:t>
      </w:r>
      <w:r>
        <w:rPr>
          <w:rFonts w:hint="eastAsia" w:ascii="Times New Roman" w:hAnsi="Times New Roman" w:eastAsia="方正仿宋_GBK" w:cs="Times New Roman"/>
          <w:sz w:val="32"/>
          <w:szCs w:val="40"/>
          <w:lang w:val="en-US" w:eastAsia="zh-CN"/>
        </w:rPr>
        <w:t>3</w:t>
      </w:r>
      <w:r>
        <w:rPr>
          <w:rFonts w:hint="default" w:ascii="Times New Roman" w:hAnsi="Times New Roman" w:eastAsia="方正仿宋_GBK" w:cs="Times New Roman"/>
          <w:sz w:val="32"/>
          <w:szCs w:val="40"/>
        </w:rPr>
        <w:t>分；未提供附赠权益得0分。</w:t>
      </w:r>
    </w:p>
    <w:p w14:paraId="361F91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2.可执行性与创新性（3分）：附赠权益方案切实可行，有创意亮点（如主题航班活动策划详细、互动性强）得3分；方案基本可行但细节不足得1-2分；方案不可行或过于笼统得0分。</w:t>
      </w:r>
    </w:p>
    <w:p w14:paraId="539D600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楷体_GB2312" w:hAnsi="方正楷体_GB2312" w:eastAsia="方正楷体_GB2312" w:cs="方正楷体_GB2312"/>
          <w:sz w:val="32"/>
          <w:szCs w:val="40"/>
          <w:lang w:eastAsia="zh-CN"/>
        </w:rPr>
      </w:pPr>
      <w:r>
        <w:rPr>
          <w:rFonts w:hint="eastAsia" w:ascii="方正楷体_GB2312" w:hAnsi="方正楷体_GB2312" w:eastAsia="方正楷体_GB2312" w:cs="方正楷体_GB2312"/>
          <w:sz w:val="32"/>
          <w:szCs w:val="40"/>
        </w:rPr>
        <w:t>（四）制作与安装维护方案（5分）</w:t>
      </w:r>
    </w:p>
    <w:p w14:paraId="4B5FF03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1.制作工艺与质量保障（3分）：头片材质、印刷工艺说明详细，有明确的质量保障措施得3分；说明较简略得1-2分；未说明得0分。</w:t>
      </w:r>
    </w:p>
    <w:p w14:paraId="18946AE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rPr>
      </w:pPr>
      <w:r>
        <w:rPr>
          <w:rFonts w:hint="default" w:ascii="Times New Roman" w:hAnsi="Times New Roman" w:eastAsia="方正仿宋_GBK" w:cs="Times New Roman"/>
          <w:sz w:val="32"/>
          <w:szCs w:val="40"/>
        </w:rPr>
        <w:t>2.安装维护计划（2分）：安装时间表清晰，维护响应机制完善（含破损更换流程）得2分；计划基本合理得1分；无明确计划得0分。</w:t>
      </w:r>
    </w:p>
    <w:p w14:paraId="5BFE69C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方正楷体_GB2312" w:hAnsi="方正楷体_GB2312" w:eastAsia="方正楷体_GB2312" w:cs="方正楷体_GB2312"/>
          <w:sz w:val="32"/>
          <w:szCs w:val="40"/>
          <w:lang w:eastAsia="zh-CN"/>
        </w:rPr>
      </w:pPr>
      <w:r>
        <w:rPr>
          <w:rFonts w:hint="default" w:ascii="方正楷体_GB2312" w:hAnsi="方正楷体_GB2312" w:eastAsia="方正楷体_GB2312" w:cs="方正楷体_GB2312"/>
          <w:sz w:val="32"/>
          <w:szCs w:val="40"/>
        </w:rPr>
        <w:t>（五）数据监测与效果评估方案（5分）</w:t>
      </w:r>
    </w:p>
    <w:p w14:paraId="1BD6B94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1.监测方案完整性（3分）：包含航班执行数据、覆盖人次统计、安装记录等完整监测维度，数据采集方法科学得3分；监测维度不完整得1-2分；未提供得0分。</w:t>
      </w:r>
    </w:p>
    <w:p w14:paraId="5F463A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方正仿宋_GBK" w:cs="Times New Roman"/>
          <w:sz w:val="32"/>
          <w:szCs w:val="40"/>
          <w:lang w:eastAsia="zh-CN"/>
        </w:rPr>
      </w:pPr>
      <w:r>
        <w:rPr>
          <w:rFonts w:hint="default" w:ascii="Times New Roman" w:hAnsi="Times New Roman" w:eastAsia="方正仿宋_GBK" w:cs="Times New Roman"/>
          <w:sz w:val="32"/>
          <w:szCs w:val="40"/>
        </w:rPr>
        <w:t>2.评估报告质量（2分）：承诺提交内容完整、分析深入的投放效果评估报告，含数据分析和改进建议得2分；报告框架基本完整得1分；未承诺提交得0分。</w:t>
      </w:r>
    </w:p>
    <w:p w14:paraId="04BF3CD9"/>
    <w:sectPr>
      <w:pgSz w:w="11906" w:h="16838"/>
      <w:pgMar w:top="2098" w:right="1474" w:bottom="1984" w:left="1587"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蘇曉" w:date="2026-08-06T09:48:29Z" w:initials="">
    <w:p w14:paraId="6B3F5406">
      <w:pPr>
        <w:pStyle w:val="2"/>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业绩条件的设置</w:t>
      </w:r>
      <w:r>
        <w:rPr>
          <w:rFonts w:hint="eastAsia" w:ascii="方正仿宋_GB2312" w:hAnsi="方正仿宋_GB2312" w:eastAsia="方正仿宋_GB2312" w:cs="方正仿宋_GB2312"/>
          <w:sz w:val="32"/>
          <w:szCs w:val="32"/>
        </w:rPr>
        <w:t>要保证具有类似业绩条件的潜在供应商的数量，以确保采购项目的竞争性。目前国内具备</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航机媒体投放</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业绩的供应商数量有限，若以此作为评审因素，可能实质排斥了大量具有其他交通工具媒体投放经验（如高铁、地铁、公交等）的潜在供应商，而这些供应商完全具备履行本项目的能力</w:t>
      </w:r>
      <w:r>
        <w:rPr>
          <w:rFonts w:hint="eastAsia" w:ascii="方正仿宋_GB2312" w:hAnsi="方正仿宋_GB2312" w:eastAsia="方正仿宋_GB2312" w:cs="方正仿宋_GB2312"/>
          <w:sz w:val="32"/>
          <w:szCs w:val="32"/>
          <w:lang w:eastAsia="zh-CN"/>
        </w:rPr>
        <w:t>（均需协调交通运营方、遵守安全规范、具备执行量统计能力等），</w:t>
      </w:r>
      <w:r>
        <w:rPr>
          <w:rFonts w:hint="eastAsia" w:ascii="方正仿宋_GB2312" w:hAnsi="方正仿宋_GB2312" w:eastAsia="方正仿宋_GB2312" w:cs="方正仿宋_GB2312"/>
          <w:sz w:val="32"/>
          <w:szCs w:val="32"/>
          <w:lang w:val="en-US" w:eastAsia="zh-CN"/>
        </w:rPr>
        <w:t>该条款实质是将特定行业领域（航机媒体投放）业绩作为评审因素。</w:t>
      </w:r>
    </w:p>
    <w:p w14:paraId="4DDF20F5">
      <w:pPr>
        <w:pStyle w:val="2"/>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该条款涉嫌违反第二十条第四款“以特定行政区域或者特定行业的业绩、奖项作为加分条件或者中标、成交条件”的规定。</w:t>
      </w:r>
    </w:p>
    <w:p w14:paraId="245ED698">
      <w:pPr>
        <w:pStyle w:val="2"/>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建议调整为“</w:t>
      </w:r>
      <w:r>
        <w:rPr>
          <w:rFonts w:hint="default" w:ascii="Times New Roman" w:hAnsi="Times New Roman" w:eastAsia="方正仿宋_GBK" w:cs="Times New Roman"/>
          <w:sz w:val="32"/>
          <w:szCs w:val="40"/>
        </w:rPr>
        <w:t>近三年承办过</w:t>
      </w:r>
      <w:r>
        <w:rPr>
          <w:rFonts w:hint="eastAsia" w:ascii="方正仿宋_GB2312" w:hAnsi="方正仿宋_GB2312" w:eastAsia="方正仿宋_GB2312" w:cs="方正仿宋_GB2312"/>
          <w:sz w:val="32"/>
          <w:szCs w:val="32"/>
          <w:lang w:val="en-US" w:eastAsia="zh-CN"/>
        </w:rPr>
        <w:t>类似交通工具媒体投放项目（包括但不限于航空、高铁、地铁、公交等交通工具上的媒体投放、广告制作及发布类项目）”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45ED69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1FBF59-89B0-434E-8274-4A470C17B3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D76ADFF-EF1C-4434-884E-6CF58B0833D2}"/>
  </w:font>
  <w:font w:name="方正仿宋_GBK">
    <w:panose1 w:val="02000000000000000000"/>
    <w:charset w:val="86"/>
    <w:family w:val="auto"/>
    <w:pitch w:val="default"/>
    <w:sig w:usb0="A00002BF" w:usb1="38CF7CFA" w:usb2="00082016" w:usb3="00000000" w:csb0="00040001" w:csb1="00000000"/>
    <w:embedRegular r:id="rId3" w:fontKey="{24C8ACFC-6252-45C0-9A81-47BA81E7BA76}"/>
  </w:font>
  <w:font w:name="方正公文小标宋">
    <w:panose1 w:val="02000500000000000000"/>
    <w:charset w:val="86"/>
    <w:family w:val="auto"/>
    <w:pitch w:val="default"/>
    <w:sig w:usb0="A00002BF" w:usb1="38CF7CFA" w:usb2="00000016" w:usb3="00000000" w:csb0="00040001" w:csb1="00000000"/>
    <w:embedRegular r:id="rId4" w:fontKey="{21400573-0A30-420E-8AB5-F733A5D0CBEF}"/>
  </w:font>
  <w:font w:name="方正楷体_GB2312">
    <w:panose1 w:val="02000000000000000000"/>
    <w:charset w:val="86"/>
    <w:family w:val="auto"/>
    <w:pitch w:val="default"/>
    <w:sig w:usb0="A00002BF" w:usb1="184F6CFA" w:usb2="00000012" w:usb3="00000000" w:csb0="00040001" w:csb1="00000000"/>
    <w:embedRegular r:id="rId5" w:fontKey="{E6D242D8-D186-47BE-B09B-3D471F3E7347}"/>
  </w:font>
  <w:font w:name="方正仿宋_GB2312">
    <w:panose1 w:val="02000000000000000000"/>
    <w:charset w:val="86"/>
    <w:family w:val="auto"/>
    <w:pitch w:val="default"/>
    <w:sig w:usb0="A00002BF" w:usb1="184F6CFA" w:usb2="00000012" w:usb3="00000000" w:csb0="00040001" w:csb1="00000000"/>
    <w:embedRegular r:id="rId6" w:fontKey="{0CCAC7CB-4EB5-40F4-B79F-CFFFA58560C4}"/>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蘇曉">
    <w15:presenceInfo w15:providerId="WPS Office" w15:userId="269053726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E76BE3"/>
    <w:rsid w:val="33E76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2026-08-07T07:40:00Z</dcterms:created>
  <dc:creator>树上黄鹂</dc:creator>
  <cp:lastModifiedBy>树上黄鹂</cp:lastModifiedBy>
  <dcterms:modified xsi:type="dcterms:W3CDTF">2026-08-07T07:41:04Z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97F112980CEE4575A8A121DCA4E9531F_11</vt:lpwstr>
  </property>
  <property fmtid="{D5CDD505-2E9C-101B-9397-08002B2CF9AE}" pid="4" name="KSOTemplateDocerSaveRecord">
    <vt:lpwstr>eyJoZGlkIjoiN2YzNjBkOTgyNWQ1YTMxYzM3MzMwNWFiODNmOWIzYWMiLCJ1c2VySWQiOiIyMjM1Mzc1NzMifQ==</vt:lpwstr>
  </property>
</Properties>
</file>