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:lang w:val="en-US" w:eastAsia="zh-CN"/>
          <w:highlight w:val="auto"/>
        </w:rPr>
      </w:pPr>
      <w:r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:lang w:val="en-US" w:eastAsia="zh-CN"/>
          <w:highlight w:val="auto"/>
        </w:rPr>
        <w:t>文创园区及拉萨火车站文旅提升项目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:lang w:val="en-US" w:eastAsia="zh-CN"/>
          <w:highlight w:val="auto"/>
        </w:rPr>
      </w:pPr>
      <w:r>
        <w:rPr>
          <w:rFonts w:ascii="方正小标宋_GBK" w:eastAsia="方正小标宋_GBK" w:cs="方正小标宋_GBK" w:hAnsi="方正小标宋简体" w:hint="eastAsia"/>
          <w:color w:val="000000"/>
          <w:sz w:val="44"/>
          <w:szCs w:val="44"/>
          <w:lang w:val="en-US" w:eastAsia="zh-CN"/>
          <w:highlight w:val="auto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color w:val="00000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黑体" w:cs="Times New Roman" w:hAnsi="Times New Roman"/>
          <w:color w:val="000000"/>
          <w:sz w:val="32"/>
          <w:szCs w:val="32"/>
          <w:lang w:val="en-US" w:eastAsia="zh-CN"/>
          <w:highlight w:val="auto"/>
        </w:rPr>
      </w:pPr>
      <w:r>
        <w:rPr>
          <w:rFonts w:ascii="Times New Roman" w:eastAsia="黑体" w:cs="Times New Roman" w:hAnsi="Times New Roman"/>
          <w:color w:val="000000"/>
          <w:sz w:val="32"/>
          <w:szCs w:val="32"/>
          <w:lang w:val="en-US" w:eastAsia="zh-CN"/>
          <w:highlight w:val="auto"/>
        </w:rPr>
        <w:t>一、项目概述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文创园入口区域因地制宜，利用现有挡墙与广告位资源，打造主题长廊。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通过色彩鲜明的彩绘手法，生动表达主题立意与形象展示，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成为兼具文化厚度与打卡热度的城市地标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节点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高新区火车站出口的长廊区域，拟对长廊立柱与横梁内容进行主题化艺术改造。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黑体" w:cs="Times New Roman" w:hAnsi="Times New Roman"/>
          <w:color w:val="000000"/>
          <w:sz w:val="32"/>
          <w:szCs w:val="32"/>
          <w:lang w:val="en-US" w:eastAsia="zh-CN"/>
          <w:highlight w:val="auto"/>
        </w:rPr>
      </w:pPr>
      <w:r>
        <w:rPr>
          <w:rFonts w:ascii="Times New Roman" w:eastAsia="黑体" w:cs="Times New Roman" w:hAnsi="Times New Roman"/>
          <w:color w:val="000000"/>
          <w:sz w:val="32"/>
          <w:szCs w:val="32"/>
          <w:lang w:val="en-US" w:eastAsia="zh-CN"/>
          <w:highlight w:val="auto"/>
        </w:rPr>
        <w:t>二、设计要求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/>
          <w:b w:val="0"/>
          <w:bCs w:val="0"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Ansi="方正楷体_GBK"/>
          <w:b w:val="0"/>
          <w:bCs w:val="0"/>
          <w:sz w:val="32"/>
          <w:szCs w:val="32"/>
          <w:lang w:val="en-US" w:eastAsia="zh-CN"/>
        </w:rPr>
        <w:t>（一）文创园</w:t>
      </w:r>
      <w:r>
        <w:rPr>
          <w:rFonts w:ascii="方正楷体_GBK" w:eastAsia="方正楷体_GBK" w:cs="方正楷体_GBK" w:hAnsi="方正楷体_GBK" w:hint="eastAsia"/>
          <w:b w:val="0"/>
          <w:bCs w:val="0"/>
          <w:sz w:val="32"/>
          <w:szCs w:val="32"/>
          <w:lang w:val="en-US" w:eastAsia="zh-CN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1.设计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主题鲜明。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可以通过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“汉藏交流”的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主题立意表达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民族团结、文化交融、家国情怀。</w:t>
      </w:r>
    </w:p>
    <w:p>
      <w:pPr>
        <w:pStyle w:val="15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76" w:lineRule="exact"/>
        <w:ind w:firstLineChars="200" w:firstLine="640"/>
        <w:jc w:val="left"/>
        <w:rPr>
          <w:rFonts w:ascii="方正仿宋_GBK" w:eastAsia="方正仿宋_GBK" w:cs="方正仿宋_GBK" w:hAnsi="Times New Roman" w:hint="eastAsia"/>
          <w:lang w:val="en-US" w:eastAsia="zh-CN"/>
        </w:rPr>
      </w:pP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2.文旅元素运用无误。设计图内的所有涉及的文化元素、景观元素等100%无误，正式施工前需组织民俗、景观、非遗、文化相关领域专家进行评审，评审通过确认导向无误后方可施工。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3.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叙事连贯。入口东侧墙面与挡墙上广告牌应形成“主题形象长廊”，设计需有连贯的视觉节奏与故事逻辑。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4.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原创性。设计方案须为原创，不得侵犯第三方知识产权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</w:pP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5.设计图及实景效果图。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需提供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不少于3版不同风格完整版设计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展开图及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墙面与广告牌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立体层次的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实景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效果示意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val="en-US" w:eastAsia="zh-CN"/>
        </w:rPr>
        <w:t>图</w:t>
      </w:r>
      <w:r>
        <w:rPr>
          <w:rFonts w:ascii="方正仿宋_GBK" w:eastAsia="方正仿宋_GBK" w:cs="方正仿宋_GBK" w:hAnsi="Times New Roman" w:hint="eastAsia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楷体_GBK" w:eastAsia="方正楷体_GBK" w:cs="方正楷体_GBK" w:hAnsi="方正楷体_GBK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Ansi="方正楷体_GBK" w:hint="eastAsia"/>
          <w:b w:val="0"/>
          <w:bCs w:val="0"/>
          <w:sz w:val="32"/>
          <w:szCs w:val="32"/>
          <w:lang w:val="en-US" w:eastAsia="zh-CN"/>
        </w:rPr>
        <w:t>（二）高新区火车站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1.特色突出。设计要求叙事清晰、层次分明，兼顾艺术性与识别性。通过“一柱一特色、一柱一主题”，集中展现独有的自然风光、民俗风情，打造拉萨文旅展示窗口。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2.文旅元素运用无误。设计图内的所有涉及的文化元素、景观元素等100%无误，正式施工前需组织民俗、景观、非遗、文化相关领域专家进行评审，确认导向无误后方可施工。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3.连贯性。横梁区域以符合主题表达的形式与立柱设计进行整体串联，避免视觉割裂。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4.原创性。设计方案须为原创，不得侵犯第三方知识产权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仿宋_GBK" w:eastAsia="方正仿宋_GBK" w:cs="方正仿宋_GBK" w:hAnsi="Times New Roman" w:hint="eastAsia"/>
          <w:sz w:val="32"/>
          <w:szCs w:val="32"/>
        </w:rPr>
        <w:t>5.设计图及实景效果图。需提供不少于3版不同风格的完整版立柱（4面）展开设计图及横梁与立柱实景效果示意图。</w:t>
      </w:r>
    </w:p>
    <w:p>
      <w:pPr>
        <w:pStyle w:val="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0" w:after="140" w:line="576" w:lineRule="exact"/>
        <w:ind w:left="0" w:firstLineChars="200" w:firstLine="640"/>
        <w:jc w:val="left"/>
        <w:textAlignment w:val="auto"/>
        <w:rPr>
          <w:rFonts w:ascii="Times New Roman" w:eastAsia="黑体" w:cs="Times New Roman" w:hAnsi="Times New Roman"/>
          <w:b w:val="0"/>
          <w:bCs w:val="0"/>
          <w:color w:val="000000"/>
          <w:kern w:val="2"/>
          <w:sz w:val="32"/>
          <w:szCs w:val="32"/>
          <w:lang w:val="en-US" w:eastAsia="zh-CN" w:bidi="ar-SA"/>
          <w:highlight w:val="auto"/>
        </w:rPr>
      </w:pPr>
      <w:r>
        <w:rPr>
          <w:rFonts w:ascii="Times New Roman" w:eastAsia="黑体" w:cs="Times New Roman" w:hAnsi="Times New Roman"/>
          <w:b w:val="0"/>
          <w:bCs w:val="0"/>
          <w:color w:val="000000"/>
          <w:kern w:val="2"/>
          <w:sz w:val="32"/>
          <w:szCs w:val="32"/>
          <w:lang w:val="en-US" w:eastAsia="zh-CN" w:bidi="ar-SA"/>
          <w:highlight w:val="auto"/>
        </w:rPr>
        <w:t>三、商务要求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楷体_GBK" w:eastAsia="方正楷体_GBK" w:cs="方正楷体_GBK" w:hAnsi="方正楷体_GBK"/>
          <w:b w:val="0"/>
          <w:bCs w:val="0"/>
          <w:sz w:val="32"/>
          <w:szCs w:val="32"/>
          <w:lang w:val="en-US" w:eastAsia="zh-CN"/>
        </w:rPr>
        <w:t>（一）质保期：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整体质保2年，质保期内出现质量问题（如彩绘褪色、浮雕开裂脱落、灯光故障等）免费修复或更换。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2312" w:cs="Times New Roman" w:hAnsi="Times New Roman"/>
          <w:b w:val="0"/>
          <w:bCs w:val="0"/>
          <w:sz w:val="32"/>
          <w:szCs w:val="32"/>
          <w:lang w:val="en-US" w:eastAsia="zh-CN"/>
        </w:rPr>
      </w:pPr>
      <w:r>
        <w:rPr>
          <w:rFonts w:ascii="方正楷体_GBK" w:eastAsia="方正楷体_GBK" w:cs="方正楷体_GBK" w:hAnsi="方正楷体_GBK"/>
          <w:b w:val="0"/>
          <w:bCs w:val="0"/>
          <w:sz w:val="32"/>
          <w:szCs w:val="32"/>
          <w:lang w:val="en-US" w:eastAsia="zh-CN"/>
        </w:rPr>
        <w:t>（二）售后服务：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接到故障通知4小时内响应，24小时内到达现场处理。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楷体_GBK" w:eastAsia="方正楷体_GBK" w:cs="方正楷体_GBK" w:hAnsi="方正楷体_GBK"/>
          <w:b w:val="0"/>
          <w:bCs w:val="0"/>
          <w:sz w:val="32"/>
          <w:szCs w:val="32"/>
          <w:lang w:val="en-US" w:eastAsia="zh-CN"/>
        </w:rPr>
        <w:t>（三）培训：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提供日常清洁、安全维护培训及书面手册。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楷体_GBK" w:eastAsia="方正楷体_GBK" w:cs="方正楷体_GBK" w:hAnsi="方正楷体_GBK"/>
          <w:b w:val="0"/>
          <w:bCs w:val="0"/>
          <w:sz w:val="32"/>
          <w:szCs w:val="32"/>
          <w:lang w:val="en-US" w:eastAsia="zh-CN"/>
        </w:rPr>
        <w:t>（四）交付时间：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合同签订后50日内完成全部设计、制作、安装、调试。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方正仿宋_GBK" w:eastAsia="方正仿宋_GBK" w:cs="方正仿宋_GBK" w:hAnsi="Times New Roman" w:hint="eastAsia"/>
          <w:sz w:val="32"/>
          <w:szCs w:val="32"/>
        </w:rPr>
      </w:pPr>
      <w:r>
        <w:rPr>
          <w:rFonts w:ascii="方正楷体_GBK" w:eastAsia="方正楷体_GBK" w:cs="方正楷体_GBK" w:hAnsi="方正楷体_GBK"/>
          <w:b w:val="0"/>
          <w:bCs w:val="0"/>
          <w:sz w:val="32"/>
          <w:szCs w:val="32"/>
          <w:lang w:val="en-US" w:eastAsia="zh-CN"/>
        </w:rPr>
        <w:t>（五）施工要求：</w:t>
      </w:r>
      <w:r>
        <w:rPr>
          <w:rFonts w:ascii="方正仿宋_GBK" w:eastAsia="方正仿宋_GBK" w:cs="方正仿宋_GBK" w:hAnsi="Times New Roman" w:hint="eastAsia"/>
          <w:sz w:val="32"/>
          <w:szCs w:val="32"/>
        </w:rPr>
        <w:t>文明施工，设立安全警示标志，服从现场管理。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 w:hint="eastAsia"/>
          <w:color w:val="000000"/>
          <w:sz w:val="32"/>
          <w:szCs w:val="32"/>
          <w:lang w:val="en-US" w:eastAsia="zh-CN"/>
          <w:highlight w:val="auto"/>
        </w:rPr>
      </w:pPr>
      <w:r>
        <w:rPr>
          <w:rFonts w:ascii="黑体" w:eastAsia="黑体" w:cs="黑体" w:hAnsi="黑体" w:hint="eastAsia"/>
          <w:color w:val="000000"/>
          <w:sz w:val="32"/>
          <w:szCs w:val="32"/>
          <w:lang w:val="en-US" w:eastAsia="zh-CN"/>
          <w:highlight w:val="auto"/>
        </w:rPr>
        <w:t>四、工艺及技术参数</w:t>
      </w:r>
    </w:p>
    <w:tbl>
      <w:tblPr>
        <w:tblpPr w:leftFromText="180" w:rightFromText="180" w:vertAnchor="text" w:horzAnchor="page" w:tblpX="1040" w:tblpY="429"/>
        <w:tblOverlap w:val="never"/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12"/>
        <w:gridCol w:w="4728"/>
        <w:gridCol w:w="912"/>
        <w:gridCol w:w="756"/>
        <w:gridCol w:w="1752"/>
      </w:tblGrid>
      <w:t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序号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服务要求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 xml:space="preserve">规格及技术要求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数量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单位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设计要求</w:t>
            </w:r>
          </w:p>
        </w:tc>
      </w:tr>
      <w:t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文创园入口东侧墙面彩绘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墙体部分高度1.53-2.54m，长度330m，面积约690㎡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基层处理：需解决现有墙面渗水、脱皮、变形、裂缝等问题，做好防水、抗裂基层处理，保证后续涂层附着力及耐久性。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3. 面层彩绘：采用优质外墙防水乳胶漆进行主题彩绘，色彩持久、耐紫外线、耐候性良好。彩绘完成后需喷涂专用保护层，具备防紫外线、防水功能。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lang w:val="en-US" w:eastAsia="zh-CN"/>
                <w:highlight w:val="auto"/>
              </w:rPr>
              <w:t xml:space="preserve"> 690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lang w:val="en-US" w:eastAsia="zh-CN"/>
                <w:highlight w:val="auto"/>
              </w:rPr>
              <w:t xml:space="preserve">㎡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汉藏交融主题，</w:t>
            </w: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色彩搭配与区域需协调，文化元素运用得当，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提供不少于3版设计图。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</w:p>
        </w:tc>
      </w:tr>
      <w:t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文创园入口挡墙广告牌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规格：高度2.5-5.1m，长度约115m，面积约428㎡。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2. 基层处理：同上述墙面处理标准，保证基层平整、牢固。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3. 面层涂料：采用高性能耐候性金属漆，具有强抗腐蚀、抗紫外线能力。金属牌之间的接缝需进行找平处理，保证整体平整度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428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lang w:val="en-US" w:eastAsia="zh-CN"/>
                <w:highlight w:val="auto"/>
              </w:rPr>
              <w:t>㎡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汉藏交融主题，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纳入主题形象长廊，与墙面彩绘形成连贯视觉节奏，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提供不少于3版设计图。并提供对应的实景效果图。</w:t>
            </w:r>
          </w:p>
        </w:tc>
      </w:tr>
      <w:t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火车站出口区域立柱艺术装饰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规格：方柱，周长3.96m×高度4.06m，共8根，每根4面，总面积约128.62㎡。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2. 艺术造型：采用高精度立体成型工艺（如玻璃钢浮雕+3D打印技术），实现高密度、高精度的浮雕图案。人物及主体物细节清晰，造型生动。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 xml:space="preserve">3. 结构要求：内置承重骨架（如热镀锌钢材），保证安全稳固。表面喷涂抗氧化、耐候性强的金属质感汽车漆（仿红砂岩效果），并喷涂清漆提升耐久性。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 xml:space="preserve">128.62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㎡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主题围绕拉萨县区景观或非遗文化开展设计，体现一柱一特色，元素运用得当，无文化错漏，与火车站整体氛围搭配。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不少于3版设计。并提供实景效果图。</w:t>
            </w:r>
          </w:p>
        </w:tc>
      </w:tr>
      <w:t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火车站出口区域立柱上横梁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1.规格：长度126m，高度0.6m，面积约75.6㎡。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2. 艺术造型：采用纤维增强复合材料（如GRC）进行表面浮雕造型，线条流畅、表面光滑。内置镀锌钢龙骨体系。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3. 表面喷涂保护漆，保证耐候性。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75.6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㎡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lang w:val="en-US" w:eastAsia="zh-CN"/>
                <w:highlight w:val="auto"/>
              </w:rPr>
              <w:t>串联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立柱设计风格</w:t>
            </w:r>
            <w:r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lang w:val="en-US" w:eastAsia="zh-CN"/>
                <w:highlight w:val="auto"/>
              </w:rPr>
              <w:t>，避免视觉割裂</w:t>
            </w: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。设计要求同上。</w:t>
            </w:r>
          </w:p>
        </w:tc>
      </w:tr>
      <w:t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火车站出口区域夜景氛围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1. 规格：外周长132m，内周长118m，总长度220m。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2. 照明设备：定制高原环境专用LED洗墙灯，防护等级不低于IP65，色温适合暖色调（3000K-4000K），具备防紫外线、耐低温性能。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3. 包含管线、电源安装及调试。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 xml:space="preserve">220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  <w:t>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与火车站整体氛围协调，灯光均匀柔和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方正仿宋_GBK" w:cs="Times New Roman" w:hAnsi="Times New Roman"/>
          <w:color w:val="000000"/>
          <w:sz w:val="32"/>
          <w:szCs w:val="32"/>
          <w:lang w:val="en-US" w:eastAsia="zh-CN"/>
          <w:highlight w:val="auto"/>
        </w:rPr>
      </w:pPr>
      <w:bookmarkStart w:id="0" w:name="_GoBack"/>
      <w:bookmarkEnd w:id="0"/>
    </w:p>
    <w:sectPr>
      <w:footerReference w:type="default" r:id="rId2"/>
      <w:pgSz w:w="11906" w:h="16838"/>
      <w:pgMar w:top="2098" w:right="1474" w:bottom="1984" w:left="1587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简体">
    <w:altName w:val="方正兰亭黑_GBK"/>
    <w:panose1 w:val="0201060001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方正兰亭黑_GBK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800002BF" w:usb1="38CF7CFA" w:usb2="00000016" w:usb3="00000000" w:csb0="00040000" w:csb1="00000000"/>
  </w:font>
  <w:font w:name="方正仿宋_GB2312">
    <w:altName w:val="方正兰亭黑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posOffset>4709160</wp:posOffset>
              </wp:positionH>
              <wp:positionV relativeFrom="paragraph">
                <wp:posOffset>0</wp:posOffset>
              </wp:positionV>
              <wp:extent cx="565149" cy="2647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5149" cy="26476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370.8pt;margin-top:0.0pt;width:44.49997pt;height:20.847649pt;z-index:12;mso-position-horizontal:absolute;mso-position-horizontal-relative:margin;mso-position-vertical:absolute;mso-wrap-distance-left:8.999863pt;mso-wrap-distance-right:8.999863pt;mso-wrap-style:squar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0"/>
    <w:next w:val="0"/>
    <w:pPr>
      <w:spacing w:before="0" w:beforeAutospacing="1" w:after="0" w:afterAutospacing="1"/>
      <w:jc w:val="left"/>
      <w:outlineLvl w:val="3"/>
    </w:pPr>
    <w:rPr>
      <w:rFonts w:ascii="宋体" w:eastAsia="宋体" w:cs="宋体" w:hAnsi="宋体"/>
      <w:b/>
      <w:bCs/>
      <w:kern w:val="0"/>
      <w:sz w:val="24"/>
      <w:szCs w:val="24"/>
      <w:lang w:val="en-US" w:eastAsia="zh-CN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0"/>
    <w:rPr>
      <w:sz w:val="24"/>
    </w:rPr>
  </w:style>
  <w:style w:type="character" w:styleId="19">
    <w:name w:val="Hyperlink"/>
    <w:basedOn w:val="10"/>
    <w:rPr>
      <w:color w:val="0000FF"/>
      <w:u w:val="single"/>
    </w:rPr>
  </w:style>
  <w:style w:type="paragraph" w:customStyle="1" w:styleId="20">
    <w:name w:val="Table Text"/>
    <w:basedOn w:val="0"/>
    <w:rPr>
      <w:rFonts w:ascii="仿宋" w:eastAsia="仿宋" w:cs="仿宋" w:hAnsi="仿宋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Yozo_Office27021597764231179</Application>
  <Pages>5</Pages>
  <Words>0</Words>
  <Characters>1446</Characters>
  <Lines>0</Lines>
  <Paragraphs>28</Paragraphs>
  <CharactersWithSpaces>1929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树上黄鹂</dc:creator>
  <cp:lastModifiedBy>ht706</cp:lastModifiedBy>
  <cp:revision>1</cp:revision>
  <cp:lastPrinted>2026-06-05T11:55:00Z</cp:lastPrinted>
  <dcterms:created xsi:type="dcterms:W3CDTF">2025-04-21T03:13:00Z</dcterms:created>
  <dcterms:modified xsi:type="dcterms:W3CDTF">2026-06-09T04:41:06Z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655EC15D9EC34CC583C638C4A6C2F2B4_13</vt:lpwstr>
  </property>
  <property fmtid="{D5CDD505-2E9C-101B-9397-08002B2CF9AE}" pid="4" name="KSOTemplateDocerSaveRecord">
    <vt:lpwstr>eyJoZGlkIjoiN2YzNjBkOTgyNWQ1YTMxYzM3MzMwNWFiODNmOWIzYWMiLCJ1c2VySWQiOiIyMjM1Mzc1NzMifQ==</vt:lpwstr>
  </property>
</Properties>
</file>