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5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eastAsia="方正仿宋_GBK" w:cs="Times New Roman" w:hAnsi="Times New Roman" w:hint="eastAsia"/>
          <w:color w:val="000000"/>
          <w:sz w:val="32"/>
          <w:szCs w:val="32"/>
          <w:lang w:val="en-US" w:eastAsia="zh-CN"/>
          <w:highlight w:val="auto"/>
        </w:rPr>
      </w:pPr>
      <w:bookmarkStart w:id="0" w:name="_GoBack"/>
      <w:bookmarkEnd w:id="0"/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  <w:lang w:val="en-US" w:eastAsia="zh-CN"/>
          <w:highlight w:val="auto"/>
        </w:rPr>
        <w:t>文创园区及拉萨火车站提升项目评分细则</w:t>
      </w:r>
    </w:p>
    <w:p>
      <w:pPr>
        <w:pStyle w:val="15"/>
        <w:rPr>
          <w:rFonts w:ascii="Times New Roman" w:eastAsia="方正仿宋_GBK" w:cs="Times New Roman" w:hAnsi="Times New Roman" w:hint="eastAsia"/>
          <w:color w:val="000000"/>
          <w:sz w:val="32"/>
          <w:szCs w:val="32"/>
          <w:lang w:val="en-US" w:eastAsia="zh-CN"/>
          <w:highlight w:val="auto"/>
        </w:rPr>
      </w:pP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62"/>
        <w:gridCol w:w="5916"/>
        <w:gridCol w:w="1078"/>
      </w:tblGrid>
      <w:tr>
        <w:tc>
          <w:tcPr>
            <w:tcW w:w="760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序号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项目</w:t>
            </w:r>
          </w:p>
        </w:tc>
        <w:tc>
          <w:tcPr>
            <w:tcW w:w="5916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评分标准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分值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Segoe UI" w:eastAsia="Segoe UI" w:cs="Segoe UI" w:hAnsi="Segoe UI"/>
                <w:i w:val="0"/>
                <w:iCs w:val="0"/>
                <w:caps w:val="0"/>
                <w:smallCaps w:val="0"/>
                <w:color w:val="0F1115"/>
                <w:spacing w:val="0"/>
                <w:sz w:val="28"/>
                <w:szCs w:val="28"/>
                <w:shd w:val="clear" w:color="auto" w:fill="FFFFFF"/>
              </w:rPr>
              <w:t>报价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lang w:val="en-US" w:eastAsia="zh-CN"/>
                <w:highlight w:val="auto"/>
              </w:rPr>
              <w:t>价格分采用低价优先法计算，即满足采购文件要求且投标报价最低的投标报价为评标基准价，其价格分为满分20分。其他供应商的价格分统一按照下列公式计算：投标报价得分 = (评标基准价／投标报价) × 20（保留两位小数）。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20</w:t>
            </w:r>
          </w:p>
        </w:tc>
      </w:tr>
      <w:t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技术部分（55分）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方案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供应商根据本项目重要节点提供策划设计方案，包括以下重点内容：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（1）重要节点策划设计需表明设计主题、文化元素选取；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（2）实景设计效果图需包含对应主题内容、文化元素和不同角度表现的效果图；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（3）设计效果图需将设计载体的全部设计面进行充分展开表现；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（4）策划设计效果落地保证措施。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方案内容包含以上全部4项且符合实际的，得16分。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16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设计效果美观程度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根据供应商提供的设计效果图进行评审：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（1）整体艺术性高，色彩搭配和谐，具有视觉冲击力，得4分；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（2）文化元素表达准确、生动，与主题契合度高，得4分；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（3）与周边环境协调性好，能够提升城市门户形象，得2分。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每项中效果较差或不符合项目定位的酌情扣1-2分。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10分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方案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供应商针对本项目提供的项目实施方案，该方案内容包括以下重点内容：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（1）施工方案与技术措施：①施工前的准备工作计划；②对本项目各个分部分项完整的施工方案；③重点部位及关键节点部位的施工工艺及技术方案；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（2）进度计划；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（3）进度保证措施；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（4）应急情况处理。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实施方案重点内容包含以上全部4项，内容完整且符合实际的，得16分。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16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安全和质量保证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投标人根据实际情况制定安全和质量保障措施，包括：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（1）安全目标和安全控制关键节点；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（2）安全保证措施；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（3）质量目标和质量控制关键节点；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（4）质量保证措施。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内容完整且符合实际的，得8分。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8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售后服务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供应商需针对本项目提供详细合理的售后服务方案：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（1）售后服务响应时间（提供全天候24小时技术支持，售后服务响应时间4小时内，到达现场时间24小时内）；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（2）售后服务方案；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（3）技术服务措施（包括故障处理、备品备件、升级服务等）。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方案内容包含以上全部内容且符合实际的得5分。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</w:t>
            </w:r>
          </w:p>
        </w:tc>
      </w:tr>
      <w:t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宋体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  <w:highlight w:val="auto"/>
              </w:rPr>
              <w:t>商务部分25分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业绩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近三年承接过墙面彩绘、雕塑浮雕、文旅提升等类似项目：</w:t>
              <w:br/>
              <w:t>- 每提供1个业绩得4分，最高12分；</w:t>
              <w:br/>
              <w:t>- 在此基础上，如有高精度立体造型（如3D打印、浮雕等） 相关业绩，每个加1分，最高加3分。</w:t>
              <w:br/>
              <w:t>注：以供应商提供的合同或中标通知书复印件为依据，且合同复印件至少包含合同首页、签字盖章页。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15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服务团队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1. 项目负责人独立负责主持过类似提升项目（提供履历及证明文件），得2分。</w:t>
              <w:br/>
              <w:t>2. 团队配置：至少包含方案主创设计师、雕塑/3D建模师、施工负责人、安全员、售后联系人，总人数≥5人，提供人员名单及分工说明，3分；缺少任一关键岗位或人数不足，不得分。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</w:t>
            </w:r>
          </w:p>
        </w:tc>
      </w:tr>
      <w:t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8"/>
                <w:szCs w:val="28"/>
                <w:vertAlign w:val="baseline"/>
                <w:lang w:val="en-US" w:eastAsia="zh-CN"/>
                <w:highlight w:val="auto"/>
              </w:rPr>
              <w:t>述标表现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评审组根据述标现场表现打分：</w:t>
              <w:br/>
              <w:t>思路清晰，重点突出，对项目理解深刻，得4-5分；</w:t>
              <w:br/>
              <w:t>思路较清晰，能基本把握重点，得2-3分；</w:t>
              <w:br/>
              <w:t>思路混乱，偏离需求，得1分；</w:t>
              <w:br/>
              <w:t>未述标得0分。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eastAsia="方正仿宋_GBK" w:cs="Times New Roman" w:hAnsi="Times New Roman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</w:pPr>
            <w:r>
              <w:rPr>
                <w:rFonts w:ascii="Times New Roman" w:eastAsia="方正仿宋_GBK" w:cs="Times New Roman" w:hAnsi="Times New Roman" w:hint="eastAsia"/>
                <w:color w:val="000000"/>
                <w:sz w:val="22"/>
                <w:szCs w:val="22"/>
                <w:vertAlign w:val="baseline"/>
                <w:lang w:val="en-US" w:eastAsia="zh-CN"/>
                <w:highlight w:val="auto"/>
              </w:rPr>
              <w:t>5分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方正仿宋_GBK" w:cs="Times New Roman" w:hAnsi="Times New Roman"/>
          <w:color w:val="000000"/>
          <w:sz w:val="32"/>
          <w:szCs w:val="32"/>
          <w:lang w:val="en-US" w:eastAsia="zh-CN"/>
          <w:highlight w:val="auto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方正小标宋简体">
    <w:altName w:val="方正兰亭黑_GBK"/>
    <w:panose1 w:val="0201060001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方正兰亭黑_GBK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Segoe UI">
    <w:altName w:val="DejaVu Sans"/>
    <w:panose1 w:val="020B0502040204020203"/>
    <w:charset w:val="00"/>
    <w:family w:val="auto"/>
    <w:pitch w:val="variable"/>
    <w:sig w:usb0="E4002EFF" w:usb1="C000E47F" w:usb2="00000009" w:usb3="00000000" w:csb0="2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posOffset>4709160</wp:posOffset>
              </wp:positionH>
              <wp:positionV relativeFrom="paragraph">
                <wp:posOffset>0</wp:posOffset>
              </wp:positionV>
              <wp:extent cx="565149" cy="26858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65149" cy="268580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370.8pt;margin-top:0.0pt;width:44.499947pt;height:21.148085pt;z-index:12;mso-position-horizontal:absolute;mso-position-horizontal-relative:margin;mso-position-vertical:absolute;mso-wrap-distance-left:8.999863pt;mso-wrap-distance-right:8.999863pt;mso-wrap-style:squar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宋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spacing w:before="0" w:beforeAutospacing="1" w:after="0" w:afterAutospacing="1"/>
      <w:jc w:val="left"/>
      <w:outlineLvl w:val="3"/>
    </w:pPr>
    <w:rPr>
      <w:rFonts w:ascii="宋体" w:eastAsia="宋体" w:cs="宋体" w:hAnsi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rPr>
      <w:sz w:val="24"/>
    </w:rPr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Table Text"/>
    <w:basedOn w:val="0"/>
    <w:rPr>
      <w:rFonts w:ascii="仿宋" w:eastAsia="仿宋" w:cs="仿宋" w:hAnsi="仿宋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Yozo_Office27021597764231179</Application>
  <Pages>3</Pages>
  <Words>0</Words>
  <Characters>989</Characters>
  <Lines>0</Lines>
  <Paragraphs>5</Paragraphs>
  <CharactersWithSpaces>1319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树上黄鹂</dc:creator>
  <cp:lastModifiedBy>ht706</cp:lastModifiedBy>
  <cp:revision>1</cp:revision>
  <cp:lastPrinted>2026-06-05T11:55:00Z</cp:lastPrinted>
  <dcterms:created xsi:type="dcterms:W3CDTF">2025-04-21T03:13:00Z</dcterms:created>
  <dcterms:modified xsi:type="dcterms:W3CDTF">2026-06-09T04:17:09Z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655EC15D9EC34CC583C638C4A6C2F2B4_13</vt:lpwstr>
  </property>
  <property fmtid="{D5CDD505-2E9C-101B-9397-08002B2CF9AE}" pid="4" name="KSOTemplateDocerSaveRecord">
    <vt:lpwstr>eyJoZGlkIjoiN2YzNjBkOTgyNWQ1YTMxYzM3MzMwNWFiODNmOWIzYWMiLCJ1c2VySWQiOiIyMjM1Mzc1NzMifQ==</vt:lpwstr>
  </property>
</Properties>
</file>