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黑体" w:eastAsia="黑体" w:cs="黑体" w:hAnsi="黑体" w:hint="eastAsia"/>
          <w:color w:val="000000"/>
          <w:spacing w:val="-11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黑体" w:eastAsia="黑体" w:cs="黑体" w:hAnsi="黑体" w:hint="eastAsia"/>
          <w:color w:val="000000"/>
          <w:spacing w:val="-11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ascii="方正公文小标宋" w:eastAsia="方正公文小标宋" w:cs="方正公文小标宋" w:hAnsi="方正公文小标宋"/>
          <w:color w:val="000000"/>
          <w:spacing w:val="-11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公文小标宋" w:eastAsia="方正公文小标宋" w:cs="方正公文小标宋" w:hAnsi="方正公文小标宋" w:hint="eastAsia"/>
          <w:color w:val="000000"/>
          <w:spacing w:val="-11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方正公文小标宋" w:eastAsia="方正公文小标宋" w:cs="方正公文小标宋" w:hAnsi="方正公文小标宋" w:hint="eastAsia"/>
          <w:color w:val="000000"/>
          <w:spacing w:val="-11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  <w:t>2026年“雪域古城・圣地拉萨”文化旅游节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公文小标宋" w:eastAsia="方正公文小标宋" w:cs="方正公文小标宋" w:hAnsi="方正公文小标宋" w:hint="eastAsia"/>
          <w:color w:val="000000"/>
          <w:spacing w:val="-11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方正公文小标宋" w:eastAsia="方正公文小标宋" w:cs="方正公文小标宋" w:hAnsi="方正公文小标宋" w:hint="eastAsia"/>
          <w:color w:val="000000"/>
          <w:spacing w:val="-20"/>
          <w:sz w:val="44"/>
          <w:szCs w:val="44"/>
          <w14:textFill>
            <w14:solidFill>
              <w14:srgbClr w14:val="000000"/>
            </w14:solidFill>
          </w14:textFill>
          <w:lang w:val="en-US" w:eastAsia="zh-CN"/>
          <w:highlight w:val="auto"/>
        </w:rPr>
        <w:t>配套服务项目</w:t>
      </w:r>
      <w:r>
        <w:rPr>
          <w:rFonts w:ascii="方正公文小标宋" w:eastAsia="方正公文小标宋" w:cs="方正公文小标宋" w:hAnsi="方正公文小标宋" w:hint="eastAsia"/>
          <w:color w:val="000000"/>
          <w:spacing w:val="-11"/>
          <w:sz w:val="44"/>
          <w:szCs w:val="44"/>
          <w14:textFill>
            <w14:solidFill>
              <w14:srgbClr w14:val="000000"/>
            </w14:solidFill>
          </w14:textFill>
          <w:lang w:val="en-US" w:eastAsia="zh-CN"/>
        </w:rPr>
        <w:t>评分表</w:t>
        <w:br/>
      </w:r>
    </w:p>
    <w:tbl>
      <w:tblPr>
        <w:jc w:val="left"/>
        <w:tblInd w:w="0" w:type="dxa"/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206"/>
        <w:gridCol w:w="6730"/>
      </w:tblGrid>
      <w:tr>
        <w:tc>
          <w:tcPr>
            <w:tcW w:w="1318" w:type="dxa"/>
          </w:tcPr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ascii="宋体" w:eastAsia="宋体" w:cs="宋体" w:hAnsi="宋体"/>
                <w:b/>
                <w:bCs/>
                <w:color w:val="000000"/>
                <w:spacing w:val="-8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宋体" w:eastAsia="宋体" w:cs="宋体" w:hAnsi="宋体" w:hint="eastAsia"/>
                <w:b/>
                <w:bCs/>
                <w:color w:val="000000"/>
                <w:spacing w:val="-8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类别</w:t>
            </w:r>
          </w:p>
        </w:tc>
        <w:tc>
          <w:tcPr>
            <w:tcW w:w="1206" w:type="dxa"/>
          </w:tcPr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ascii="宋体" w:eastAsia="宋体" w:cs="宋体" w:hAnsi="宋体"/>
                <w:b/>
                <w:bCs/>
                <w:color w:val="000000"/>
                <w:spacing w:val="-8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宋体" w:eastAsia="宋体" w:cs="宋体" w:hAnsi="宋体" w:hint="eastAsia"/>
                <w:b/>
                <w:bCs/>
                <w:color w:val="000000"/>
                <w:spacing w:val="-8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项目</w:t>
            </w:r>
          </w:p>
        </w:tc>
        <w:tc>
          <w:tcPr>
            <w:tcW w:w="6730" w:type="dxa"/>
          </w:tcPr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ascii="宋体" w:eastAsia="宋体" w:cs="宋体" w:hAnsi="宋体" w:hint="eastAsia"/>
                <w:b/>
                <w:bCs/>
                <w:color w:val="000000"/>
                <w:spacing w:val="-8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宋体" w:eastAsia="宋体" w:cs="宋体" w:hAnsi="宋体" w:hint="eastAsia"/>
                <w:b/>
                <w:bCs/>
                <w:color w:val="000000"/>
                <w:spacing w:val="-8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参数</w:t>
            </w:r>
          </w:p>
        </w:tc>
      </w:tr>
      <w:tr>
        <w:trPr>
          <w:trHeight w:val="3367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both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技术部分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 xml:space="preserve">（65分） 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center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both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 xml:space="preserve">                                                        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both"/>
              <w:textAlignment w:val="baseline"/>
              <w:rPr>
                <w:rFonts w:ascii="仿宋" w:eastAsia="仿宋" w:cs="仿宋" w:hAnsi="仿宋" w:hint="eastAsia"/>
                <w:color w:val="000000"/>
                <w:spacing w:val="-8"/>
                <w:sz w:val="28"/>
                <w:szCs w:val="28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ascii="黑体" w:eastAsia="黑体" w:cs="黑体" w:hAnsi="黑体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一、服务方案（65分）</w:t>
            </w: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 xml:space="preserve">                                         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/>
                <w:b/>
                <w:bCs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b/>
                <w:bCs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 xml:space="preserve">（一）方案内容详实、主题鲜明（30分） 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 xml:space="preserve">1.方案内容详实（2分）；2.方案包含用房（4分）、用餐（4分）、接机（4分）、室内交通接送（4分）、踩线活动行程安排计划（4分）、氧气及饮用水方案（2分）、具有明确车辆配置安排方案（4分）；3.方案具备可操作性（2分） 。                                             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（</w:t>
            </w:r>
            <w:r>
              <w:rPr>
                <w:rFonts w:cs="仿宋" w:hint="eastAsia"/>
                <w:b/>
                <w:bCs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二）服务流程全面、规范（15分）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1.服务方案具有详细日程安排计划（4-5分），日程安排计划简略（2-3分），计划缺乏操作性（0-1分）；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2.具有配套服务工作人员配置及人员分工明细方案，针对嘉宾联络沟通保障工作提出对接服务人员安排计划（4-5分） ，配置基本合理（2-3分），配置不合理（0-1分）。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3.车辆情况良好，车辆使用年限1-3年（5分），使用年限3-5年（3分），使用年限5-7年（1分）。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 w:hint="eastAsia"/>
                <w:b/>
                <w:bCs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（</w:t>
            </w:r>
            <w:r>
              <w:rPr>
                <w:rFonts w:cs="仿宋" w:hint="eastAsia"/>
                <w:b/>
                <w:bCs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三）物料设计（5分）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投标人需随方案提供以下全部物料的效果图或设计稿。每提供一项且设计符合文化旅游节调性、版面美观的得对应分数；缺项或设计明显粗糙、未提供效果图的，该项不得分。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工作证/嘉宾证设计（3分）；车辆通行证设计（2分）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 w:hint="eastAsia"/>
                <w:b/>
                <w:bCs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b/>
                <w:bCs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（四）应急处理方案（10分）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根据</w:t>
            </w:r>
            <w:r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突发事件应急预案完善程度、应急响应机制灵活性及处理措施的具体可行性进行分档评分。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-方案完善、措施具体可行、响应机制灵活</w:t>
            </w: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（8-10分）</w:t>
            </w:r>
            <w:r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。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- 方案较为完善、具备基本处理能力</w:t>
            </w: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（5-7分）</w:t>
            </w:r>
            <w:r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。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- 方案笼统、缺乏针对性</w:t>
            </w: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（2-4分）</w:t>
            </w:r>
            <w:r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。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- 未提供应急方案：不得分。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 w:hint="eastAsia"/>
                <w:b/>
                <w:bCs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b/>
                <w:bCs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（五）统筹协调保障（5分）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承诺投入专职项目经理负责项目统筹，且明确有现场对接专人（提供姓名及职务）的，得5分。仅有笼统承诺但无具体人员安排说明的，得2分。</w:t>
            </w:r>
          </w:p>
        </w:tc>
      </w:tr>
      <w:t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both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商务部分（15分）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both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baseline"/>
              <w:rPr>
                <w:rFonts w:cs="仿宋" w:hint="eastAsia"/>
                <w:b/>
                <w:bCs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 xml:space="preserve">需提供近3年的不少于2次的配套服务承办案例（业绩）：15分                                          </w:t>
            </w:r>
            <w:r>
              <w:rPr>
                <w:rFonts w:cs="仿宋" w:hint="eastAsia"/>
                <w:b/>
                <w:bCs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提供2个案例得9分；每多一例得3分；累计分值不超过15分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baseline"/>
              <w:rPr>
                <w:rFonts w:cs="仿宋"/>
                <w:b/>
                <w:bCs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b/>
                <w:bCs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需提供合同关键页或中标/成交通知书</w:t>
            </w:r>
          </w:p>
        </w:tc>
      </w:tr>
      <w:tr>
        <w:trPr>
          <w:trHeight w:val="1373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6" w:lineRule="exact"/>
              <w:ind w:left="0" w:right="0"/>
              <w:jc w:val="both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经济部分（20分）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both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报价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both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（20分）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left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以满足要求且报价最低的有效报价作为评标基准价，该投标人得满分20分。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left"/>
              <w:textAlignment w:val="baseline"/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- 其他投标人的报价得分计算公式为：**（评标基准价 ÷ 该投标人实际报价） × 20**。</w:t>
            </w:r>
          </w:p>
          <w:p>
            <w:pPr>
              <w:pStyle w:val="13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left"/>
              <w:textAlignment w:val="baseline"/>
              <w:rPr>
                <w:rFonts w:cs="仿宋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</w:pPr>
            <w:r>
              <w:rPr>
                <w:rFonts w:cs="仿宋" w:hint="eastAsia"/>
                <w:color w:val="000000"/>
                <w:spacing w:val="-8"/>
                <w:sz w:val="24"/>
                <w:szCs w:val="24"/>
                <w14:textFill>
                  <w14:solidFill>
                    <w14:srgbClr w14:val="000000"/>
                  </w14:solidFill>
                </w14:textFill>
                <w:lang w:val="en-US" w:eastAsia="zh-CN"/>
              </w:rPr>
              <w:t>- 计算结果四舍五入，保留小数点后两位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Chars="200" w:firstLine="596"/>
        <w:jc w:val="center"/>
        <w:textAlignment w:val="baseline"/>
        <w:rPr>
          <w:rFonts w:ascii="黑体" w:eastAsia="黑体" w:cs="黑体" w:hAnsi="黑体" w:hint="eastAsia"/>
          <w:color w:val="000000"/>
          <w:spacing w:val="-11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</w:pPr>
    </w:p>
    <w:p>
      <w:pPr>
        <w:rPr>
          <w:color w:val="000000"/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Chars="200" w:firstLine="640"/>
        <w:rPr>
          <w:rFonts w:ascii="Times New Roman Regular" w:eastAsia="方正仿宋_GBK" w:cs="Times New Roman Regular" w:hAnsi="Times New Roman Regular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color w:val="000000"/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Times New Roman" w:eastAsia="方正仿宋_GBK" w:cs="Times New Roman" w:hAnsi="Times New Roman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  <w:highlight w:val="auto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公文小标宋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方正书宋_GBK"/>
    <w:panose1 w:val="02010600030101010101"/>
    <w:charset w:val="86"/>
    <w:family w:val="script"/>
    <w:pitch w:val="variable"/>
    <w:sig w:usb0="00000003" w:usb1="080E0000" w:usb2="00000000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 Regular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6">
    <w:name w:val="index 6"/>
    <w:basedOn w:val="0"/>
    <w:autoRedefine/>
    <w:next w:val="0"/>
    <w:pPr>
      <w:ind w:left="2100"/>
    </w:pPr>
  </w:style>
  <w:style w:type="paragraph" w:customStyle="1" w:styleId="133">
    <w:name w:val="Table Text"/>
    <w:basedOn w:val="0"/>
    <w:pPr>
      <w:widowControl w:val="0"/>
      <w:jc w:val="both"/>
    </w:pPr>
    <w:rPr>
      <w:rFonts w:ascii="仿宋" w:eastAsia="仿宋" w:cs="仿宋" w:hAnsi="仿宋"/>
      <w:kern w:val="2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0</Words>
  <Characters>875</Characters>
  <Lines>0</Lines>
  <Paragraphs>11</Paragraphs>
  <CharactersWithSpaces>1167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ht706</dc:creator>
  <cp:lastModifiedBy>ht706</cp:lastModifiedBy>
  <cp:revision>1</cp:revision>
  <dcterms:created xsi:type="dcterms:W3CDTF">2026-04-24T11:06:50Z</dcterms:created>
  <dcterms:modified xsi:type="dcterms:W3CDTF">2026-04-24T11:07:09Z</dcterms:modified>
</cp:coreProperties>
</file>