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hint="eastAsia" w:ascii="方正小标宋_GBK" w:eastAsia="方正小标宋_GBK"/>
          <w:sz w:val="44"/>
          <w:szCs w:val="44"/>
        </w:rPr>
        <w:t>拉萨市基本公共文化服务实施标准</w:t>
      </w:r>
    </w:p>
    <w:p>
      <w:pPr>
        <w:jc w:val="center"/>
        <w:rPr>
          <w:rFonts w:hint="eastAsia" w:ascii="仿宋" w:hAnsi="仿宋" w:eastAsia="仿宋"/>
          <w:sz w:val="32"/>
          <w:szCs w:val="32"/>
        </w:rPr>
      </w:pPr>
      <w:bookmarkStart w:id="0" w:name="_GoBack"/>
      <w:r>
        <w:rPr>
          <w:rFonts w:hint="eastAsia" w:ascii="仿宋" w:hAnsi="仿宋" w:eastAsia="仿宋"/>
          <w:sz w:val="32"/>
          <w:szCs w:val="32"/>
        </w:rPr>
        <w:t>（2015—2020年）</w:t>
      </w:r>
      <w:bookmarkEnd w:id="0"/>
    </w:p>
    <w:p>
      <w:pPr>
        <w:jc w:val="center"/>
        <w:rPr>
          <w:rFonts w:hint="eastAsia" w:ascii="仿宋_GB2312" w:eastAsia="仿宋_GB2312"/>
          <w:sz w:val="32"/>
          <w:szCs w:val="32"/>
        </w:rPr>
      </w:pPr>
    </w:p>
    <w:p>
      <w:pPr>
        <w:numPr>
          <w:ilvl w:val="0"/>
          <w:numId w:val="1"/>
        </w:numPr>
        <w:rPr>
          <w:rFonts w:hint="eastAsia" w:ascii="黑体" w:eastAsia="黑体"/>
          <w:sz w:val="32"/>
          <w:szCs w:val="32"/>
        </w:rPr>
      </w:pPr>
      <w:r>
        <w:rPr>
          <w:rFonts w:hint="eastAsia" w:ascii="黑体" w:eastAsia="黑体"/>
          <w:sz w:val="32"/>
          <w:szCs w:val="32"/>
        </w:rPr>
        <w:t>基本服务</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楷体" w:hAnsi="楷体" w:eastAsia="楷体"/>
                <w:sz w:val="32"/>
                <w:szCs w:val="32"/>
              </w:rPr>
            </w:pPr>
            <w:r>
              <w:rPr>
                <w:rFonts w:hint="eastAsia" w:ascii="楷体" w:hAnsi="楷体" w:eastAsia="楷体"/>
                <w:sz w:val="32"/>
                <w:szCs w:val="32"/>
              </w:rPr>
              <w:t>读书</w:t>
            </w:r>
          </w:p>
          <w:p>
            <w:pPr>
              <w:rPr>
                <w:rFonts w:hint="eastAsia" w:ascii="楷体" w:hAnsi="楷体" w:eastAsia="楷体"/>
                <w:sz w:val="32"/>
                <w:szCs w:val="32"/>
              </w:rPr>
            </w:pPr>
            <w:r>
              <w:rPr>
                <w:rFonts w:hint="eastAsia" w:ascii="楷体" w:hAnsi="楷体" w:eastAsia="楷体"/>
                <w:sz w:val="32"/>
                <w:szCs w:val="32"/>
              </w:rPr>
              <w:t>看报</w: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tc>
        <w:tc>
          <w:tcPr>
            <w:tcW w:w="7334" w:type="dxa"/>
            <w:noWrap w:val="0"/>
            <w:vAlign w:val="top"/>
          </w:tcPr>
          <w:p>
            <w:pPr>
              <w:spacing w:line="360" w:lineRule="exact"/>
              <w:rPr>
                <w:rFonts w:hint="eastAsia" w:ascii="仿宋" w:hAnsi="仿宋" w:eastAsia="仿宋"/>
                <w:sz w:val="28"/>
                <w:szCs w:val="28"/>
              </w:rPr>
            </w:pPr>
            <w:r>
              <w:rPr>
                <w:rFonts w:hint="eastAsia" w:ascii="仿宋" w:hAnsi="仿宋" w:eastAsia="仿宋"/>
                <w:sz w:val="28"/>
                <w:szCs w:val="28"/>
              </w:rPr>
              <w:t>1.公共图书馆（室）、乡镇（街道）综合文化站和村（社</w:t>
            </w:r>
          </w:p>
          <w:p>
            <w:pPr>
              <w:spacing w:line="360" w:lineRule="exact"/>
              <w:rPr>
                <w:rFonts w:hint="eastAsia" w:ascii="仿宋" w:hAnsi="仿宋" w:eastAsia="仿宋"/>
                <w:sz w:val="28"/>
                <w:szCs w:val="28"/>
              </w:rPr>
            </w:pPr>
            <w:r>
              <w:rPr>
                <w:rFonts w:hint="eastAsia" w:ascii="仿宋" w:hAnsi="仿宋" w:eastAsia="仿宋"/>
                <w:sz w:val="28"/>
                <w:szCs w:val="28"/>
              </w:rPr>
              <w:t>区）综合文化服务中心（含农家书屋、寺庙书屋）等配备图书、报刊和电子书刊，并免费提供借阅服务。</w:t>
            </w:r>
          </w:p>
          <w:p>
            <w:pPr>
              <w:spacing w:line="360" w:lineRule="exact"/>
              <w:rPr>
                <w:rFonts w:hint="eastAsia" w:ascii="仿宋" w:hAnsi="仿宋" w:eastAsia="仿宋"/>
                <w:sz w:val="28"/>
                <w:szCs w:val="28"/>
              </w:rPr>
            </w:pPr>
            <w:r>
              <w:rPr>
                <w:rFonts w:hint="eastAsia" w:ascii="仿宋" w:hAnsi="仿宋" w:eastAsia="仿宋"/>
                <w:sz w:val="28"/>
                <w:szCs w:val="28"/>
              </w:rPr>
              <w:t>2.全市人均公共图书馆藏书不少于0.6册。</w:t>
            </w:r>
          </w:p>
          <w:p>
            <w:pPr>
              <w:spacing w:line="360" w:lineRule="exact"/>
              <w:rPr>
                <w:rFonts w:hint="eastAsia" w:ascii="仿宋" w:hAnsi="仿宋" w:eastAsia="仿宋"/>
                <w:sz w:val="28"/>
                <w:szCs w:val="28"/>
              </w:rPr>
            </w:pPr>
            <w:r>
              <w:rPr>
                <w:rFonts w:hint="eastAsia" w:ascii="仿宋" w:hAnsi="仿宋" w:eastAsia="仿宋"/>
                <w:sz w:val="28"/>
                <w:szCs w:val="28"/>
              </w:rPr>
              <w:t>3.市图书馆基本藏书量不少于20万册，且人均年新增藏量不少于0.05册，年订购报刊种类不少于200种，年图书外借率达到总藏量的30%以上。</w:t>
            </w:r>
          </w:p>
          <w:p>
            <w:pPr>
              <w:spacing w:line="360" w:lineRule="exact"/>
              <w:rPr>
                <w:rFonts w:hint="eastAsia" w:ascii="仿宋" w:hAnsi="仿宋" w:eastAsia="仿宋"/>
                <w:sz w:val="28"/>
                <w:szCs w:val="28"/>
              </w:rPr>
            </w:pPr>
            <w:r>
              <w:rPr>
                <w:rFonts w:hint="eastAsia" w:ascii="仿宋" w:hAnsi="仿宋" w:eastAsia="仿宋"/>
                <w:sz w:val="28"/>
                <w:szCs w:val="28"/>
              </w:rPr>
              <w:t>4.县级综合文化活动中心基本藏书量不少于2万册，且人均年新增藏量不少于0.04册，年订购报刊种类不少于15种，年图书外借率达到总藏量的20%以上。</w:t>
            </w:r>
          </w:p>
          <w:p>
            <w:pPr>
              <w:spacing w:line="360" w:lineRule="exact"/>
              <w:rPr>
                <w:rFonts w:hint="eastAsia" w:ascii="仿宋" w:hAnsi="仿宋" w:eastAsia="仿宋"/>
                <w:sz w:val="28"/>
                <w:szCs w:val="28"/>
              </w:rPr>
            </w:pPr>
            <w:r>
              <w:rPr>
                <w:rFonts w:hint="eastAsia" w:ascii="仿宋" w:hAnsi="仿宋" w:eastAsia="仿宋"/>
                <w:sz w:val="28"/>
                <w:szCs w:val="28"/>
              </w:rPr>
              <w:t>5.乡镇综合文化站基本藏书量不少于3000册，人均年新增藏量不少于0.03册，年订购报刊种类不少于5种，年图书外借率达到总藏量的20%以上。</w:t>
            </w:r>
          </w:p>
          <w:p>
            <w:pPr>
              <w:spacing w:line="360" w:lineRule="exact"/>
              <w:rPr>
                <w:rFonts w:hint="eastAsia" w:ascii="仿宋" w:hAnsi="仿宋" w:eastAsia="仿宋"/>
                <w:sz w:val="28"/>
                <w:szCs w:val="28"/>
              </w:rPr>
            </w:pPr>
            <w:r>
              <w:rPr>
                <w:rFonts w:hint="eastAsia" w:ascii="仿宋" w:hAnsi="仿宋" w:eastAsia="仿宋"/>
                <w:sz w:val="28"/>
                <w:szCs w:val="28"/>
              </w:rPr>
              <w:t>6.农家书屋（寺庙书屋）基本配备的图书不少于1200种、1500册，报纸期刊不少于20种、音像制品和电子出版物不少于40种（张），年新增图书不少于60种。</w:t>
            </w:r>
          </w:p>
          <w:p>
            <w:pPr>
              <w:spacing w:line="360" w:lineRule="exact"/>
              <w:rPr>
                <w:rFonts w:hint="eastAsia" w:ascii="仿宋" w:hAnsi="仿宋" w:eastAsia="仿宋"/>
                <w:sz w:val="28"/>
                <w:szCs w:val="28"/>
              </w:rPr>
            </w:pPr>
            <w:r>
              <w:rPr>
                <w:rFonts w:hint="eastAsia" w:ascii="仿宋" w:hAnsi="仿宋" w:eastAsia="仿宋"/>
                <w:sz w:val="28"/>
                <w:szCs w:val="28"/>
              </w:rPr>
              <w:t>7.在城镇主要街道、公共场所、居民小区等人流密集地点设置阅报栏或电子阅报屏。</w:t>
            </w:r>
          </w:p>
          <w:p>
            <w:pPr>
              <w:spacing w:line="360" w:lineRule="exact"/>
              <w:rPr>
                <w:rFonts w:hint="eastAsia" w:ascii="仿宋" w:hAnsi="仿宋" w:eastAsia="仿宋"/>
                <w:sz w:val="28"/>
                <w:szCs w:val="28"/>
              </w:rPr>
            </w:pPr>
            <w:r>
              <w:rPr>
                <w:rFonts w:hint="eastAsia" w:ascii="仿宋" w:hAnsi="仿宋" w:eastAsia="仿宋"/>
                <w:sz w:val="28"/>
                <w:szCs w:val="28"/>
              </w:rPr>
              <w:t>8.县（区）以上图书馆（含县综合文化活动中心）为视障人士配置盲文书籍或有声读物，县级以下图书阅览室采取其他方式为视障人士提供阅读服务。</w:t>
            </w:r>
          </w:p>
          <w:p>
            <w:pPr>
              <w:spacing w:line="360" w:lineRule="exact"/>
              <w:rPr>
                <w:rFonts w:hint="eastAsia" w:ascii="仿宋" w:hAnsi="仿宋" w:eastAsia="仿宋"/>
                <w:sz w:val="28"/>
                <w:szCs w:val="28"/>
              </w:rPr>
            </w:pPr>
            <w:r>
              <w:rPr>
                <w:rFonts w:hint="eastAsia" w:ascii="仿宋" w:hAnsi="仿宋" w:eastAsia="仿宋"/>
                <w:sz w:val="28"/>
                <w:szCs w:val="28"/>
              </w:rPr>
              <w:t>9.市、县（区）政府每年举办的全民阅读活动不少于1次，每次持续时间不少于2天。</w:t>
            </w:r>
          </w:p>
          <w:p>
            <w:pPr>
              <w:spacing w:line="400" w:lineRule="exact"/>
              <w:rPr>
                <w:rFonts w:hint="eastAsia" w:ascii="仿宋" w:hAnsi="仿宋" w:eastAsia="仿宋"/>
                <w:sz w:val="28"/>
                <w:szCs w:val="28"/>
              </w:rPr>
            </w:pPr>
            <w:r>
              <w:rPr>
                <w:rFonts w:hint="eastAsia" w:ascii="仿宋" w:hAnsi="仿宋" w:eastAsia="仿宋"/>
                <w:sz w:val="28"/>
                <w:szCs w:val="28"/>
              </w:rPr>
              <w:t>10.设立</w:t>
            </w:r>
            <w:r>
              <w:rPr>
                <w:rFonts w:ascii="仿宋" w:hAnsi="仿宋" w:eastAsia="仿宋"/>
                <w:sz w:val="28"/>
                <w:szCs w:val="28"/>
              </w:rPr>
              <w:t>”</w:t>
            </w:r>
            <w:r>
              <w:rPr>
                <w:rFonts w:hint="eastAsia" w:ascii="仿宋" w:hAnsi="仿宋" w:eastAsia="仿宋"/>
                <w:sz w:val="28"/>
                <w:szCs w:val="28"/>
              </w:rPr>
              <w:t>文化惠民一卡通</w:t>
            </w:r>
            <w:r>
              <w:rPr>
                <w:rFonts w:ascii="仿宋" w:hAnsi="仿宋" w:eastAsia="仿宋"/>
                <w:sz w:val="28"/>
                <w:szCs w:val="28"/>
              </w:rPr>
              <w:t>”</w:t>
            </w:r>
            <w:r>
              <w:rPr>
                <w:rFonts w:hint="eastAsia" w:ascii="仿宋" w:hAnsi="仿宋" w:eastAsia="仿宋"/>
                <w:sz w:val="28"/>
                <w:szCs w:val="28"/>
              </w:rPr>
              <w:t>,开展相关优惠活动。</w:t>
            </w:r>
          </w:p>
          <w:p>
            <w:pPr>
              <w:spacing w:line="400" w:lineRule="exact"/>
              <w:rPr>
                <w:rFonts w:hint="eastAsia" w:ascii="仿宋" w:hAnsi="仿宋" w:eastAsia="仿宋"/>
                <w:sz w:val="28"/>
                <w:szCs w:val="28"/>
              </w:rPr>
            </w:pPr>
            <w:r>
              <w:rPr>
                <w:rFonts w:hint="eastAsia" w:ascii="仿宋" w:hAnsi="仿宋" w:eastAsia="仿宋"/>
                <w:sz w:val="28"/>
                <w:szCs w:val="28"/>
              </w:rPr>
              <w:t>11.试点建设家庭书屋、网吧书屋。</w:t>
            </w:r>
          </w:p>
          <w:p>
            <w:pPr>
              <w:spacing w:line="400" w:lineRule="exact"/>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spacing w:line="400" w:lineRule="exact"/>
              <w:jc w:val="center"/>
              <w:rPr>
                <w:rFonts w:hint="eastAsia" w:ascii="黑体" w:hAnsi="黑体" w:eastAsia="黑体"/>
                <w:sz w:val="32"/>
                <w:szCs w:val="32"/>
              </w:rPr>
            </w:pPr>
            <w:r>
              <w:rPr>
                <w:rFonts w:hint="eastAsia" w:ascii="黑体" w:hAns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r>
              <w:rPr>
                <w:rFonts w:hint="eastAsia" w:ascii="楷体" w:hAnsi="楷体" w:eastAsia="楷体"/>
                <w:sz w:val="32"/>
                <w:szCs w:val="32"/>
              </w:rPr>
              <w:t>收听</w:t>
            </w:r>
          </w:p>
          <w:p>
            <w:pPr>
              <w:spacing w:line="400" w:lineRule="exact"/>
              <w:rPr>
                <w:rFonts w:hint="eastAsia" w:ascii="楷体" w:hAnsi="楷体" w:eastAsia="楷体"/>
                <w:sz w:val="32"/>
                <w:szCs w:val="32"/>
              </w:rPr>
            </w:pPr>
            <w:r>
              <w:rPr>
                <w:rFonts w:hint="eastAsia" w:ascii="楷体" w:hAnsi="楷体" w:eastAsia="楷体"/>
                <w:sz w:val="32"/>
                <w:szCs w:val="32"/>
              </w:rPr>
              <w:t>广播</w:t>
            </w: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12.为全民提供突发事件应急广播服务。广播电视直播卫星提供不少于17套广播节目。无线模拟广播提供不少于3套广播节目。地面无线数字广播提供不少于15套广播节目。有线数字电视提供不少于11套广播节目。</w:t>
            </w:r>
          </w:p>
          <w:p>
            <w:pPr>
              <w:spacing w:line="40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r>
              <w:rPr>
                <w:rFonts w:hint="eastAsia" w:ascii="楷体" w:hAnsi="楷体" w:eastAsia="楷体"/>
                <w:sz w:val="32"/>
                <w:szCs w:val="32"/>
              </w:rPr>
              <w:t>观看</w:t>
            </w:r>
          </w:p>
          <w:p>
            <w:pPr>
              <w:spacing w:line="400" w:lineRule="exact"/>
              <w:rPr>
                <w:rFonts w:hint="eastAsia" w:ascii="楷体" w:hAnsi="楷体" w:eastAsia="楷体"/>
                <w:sz w:val="32"/>
                <w:szCs w:val="32"/>
              </w:rPr>
            </w:pPr>
            <w:r>
              <w:rPr>
                <w:rFonts w:hint="eastAsia" w:ascii="楷体" w:hAnsi="楷体" w:eastAsia="楷体"/>
                <w:sz w:val="32"/>
                <w:szCs w:val="32"/>
              </w:rPr>
              <w:t>电视</w:t>
            </w: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13.广播电视直播卫星提供不少于25套电视节目。无线模拟电视提供不少于3套电视节目。无线数字电视提供不少于15套电视节目。有线数字电视提供不少于60套基本电视节目。</w:t>
            </w:r>
          </w:p>
          <w:p>
            <w:pPr>
              <w:spacing w:line="40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r>
              <w:rPr>
                <w:rFonts w:hint="eastAsia" w:ascii="楷体" w:hAnsi="楷体" w:eastAsia="楷体"/>
                <w:sz w:val="32"/>
                <w:szCs w:val="32"/>
              </w:rPr>
              <w:t>观赏</w:t>
            </w:r>
          </w:p>
          <w:p>
            <w:pPr>
              <w:spacing w:line="400" w:lineRule="exact"/>
              <w:rPr>
                <w:rFonts w:hint="eastAsia" w:ascii="楷体" w:hAnsi="楷体" w:eastAsia="楷体"/>
                <w:sz w:val="32"/>
                <w:szCs w:val="32"/>
              </w:rPr>
            </w:pPr>
            <w:r>
              <w:rPr>
                <w:rFonts w:hint="eastAsia" w:ascii="楷体" w:hAnsi="楷体" w:eastAsia="楷体"/>
                <w:sz w:val="32"/>
                <w:szCs w:val="32"/>
              </w:rPr>
              <w:t>电影</w:t>
            </w: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14.为农牧区群众提供数字电影放映服务，每村每月不少于1.6场，其中每年国产新片（院线上映不超过2年）比例不低于1/3。为中小学生每学期提供3部爱国主义影片。</w:t>
            </w:r>
          </w:p>
          <w:p>
            <w:pPr>
              <w:spacing w:line="40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p>
          <w:p>
            <w:pPr>
              <w:spacing w:line="400" w:lineRule="exact"/>
              <w:rPr>
                <w:rFonts w:hint="eastAsia" w:ascii="楷体" w:hAnsi="楷体" w:eastAsia="楷体"/>
                <w:sz w:val="32"/>
                <w:szCs w:val="32"/>
              </w:rPr>
            </w:pPr>
            <w:r>
              <w:rPr>
                <w:rFonts w:hint="eastAsia" w:ascii="楷体" w:hAnsi="楷体" w:eastAsia="楷体"/>
                <w:sz w:val="32"/>
                <w:szCs w:val="32"/>
              </w:rPr>
              <w:t>观看</w:t>
            </w:r>
          </w:p>
          <w:p>
            <w:pPr>
              <w:spacing w:line="400" w:lineRule="exact"/>
              <w:rPr>
                <w:rFonts w:hint="eastAsia" w:ascii="楷体" w:hAnsi="楷体" w:eastAsia="楷体"/>
                <w:sz w:val="32"/>
                <w:szCs w:val="32"/>
              </w:rPr>
            </w:pPr>
            <w:r>
              <w:rPr>
                <w:rFonts w:hint="eastAsia" w:ascii="楷体" w:hAnsi="楷体" w:eastAsia="楷体"/>
                <w:sz w:val="32"/>
                <w:szCs w:val="32"/>
              </w:rPr>
              <w:t>演出</w:t>
            </w: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15.市歌舞团年创作节目不少于5个，年下乡演出场次不少于100场,县民间艺术团年创作节目不少于2个，年下乡演出场次不少于50场。</w:t>
            </w:r>
          </w:p>
          <w:p>
            <w:pPr>
              <w:spacing w:line="400" w:lineRule="exact"/>
              <w:rPr>
                <w:rFonts w:hint="eastAsia" w:ascii="仿宋" w:hAnsi="仿宋" w:eastAsia="仿宋"/>
                <w:sz w:val="28"/>
                <w:szCs w:val="28"/>
              </w:rPr>
            </w:pPr>
            <w:r>
              <w:rPr>
                <w:rFonts w:hint="eastAsia" w:ascii="仿宋" w:hAnsi="仿宋" w:eastAsia="仿宋"/>
                <w:sz w:val="28"/>
                <w:szCs w:val="28"/>
              </w:rPr>
              <w:t>16.逐步实现每年每个行政村有1场县以上（含县）文艺团体的正规演出。扶持乡村业余文艺演出队开展文艺演出。</w:t>
            </w:r>
          </w:p>
          <w:p>
            <w:pPr>
              <w:spacing w:line="400" w:lineRule="exact"/>
              <w:rPr>
                <w:rFonts w:hint="eastAsia" w:ascii="仿宋" w:hAnsi="仿宋" w:eastAsia="仿宋"/>
                <w:sz w:val="28"/>
                <w:szCs w:val="28"/>
              </w:rPr>
            </w:pPr>
            <w:r>
              <w:rPr>
                <w:rFonts w:hint="eastAsia" w:ascii="仿宋" w:hAnsi="仿宋" w:eastAsia="仿宋"/>
                <w:sz w:val="28"/>
                <w:szCs w:val="28"/>
              </w:rPr>
              <w:t>17.组建少儿文艺队、残疾人文艺队，每年开展文艺汇演。</w:t>
            </w:r>
          </w:p>
          <w:p>
            <w:pPr>
              <w:spacing w:line="400" w:lineRule="exact"/>
              <w:rPr>
                <w:rFonts w:hint="eastAsia" w:ascii="仿宋" w:hAnsi="仿宋" w:eastAsia="仿宋"/>
                <w:sz w:val="28"/>
                <w:szCs w:val="28"/>
              </w:rPr>
            </w:pPr>
            <w:r>
              <w:rPr>
                <w:rFonts w:hint="eastAsia" w:ascii="仿宋" w:hAnsi="仿宋" w:eastAsia="仿宋"/>
                <w:sz w:val="28"/>
                <w:szCs w:val="28"/>
              </w:rPr>
              <w:t>18.每年开展基层文艺队伍区域（区内）联动活动。</w:t>
            </w:r>
          </w:p>
          <w:p>
            <w:pPr>
              <w:spacing w:line="400" w:lineRule="exact"/>
              <w:rPr>
                <w:rFonts w:hint="eastAsia" w:ascii="仿宋" w:hAnsi="仿宋" w:eastAsia="仿宋"/>
                <w:b/>
                <w:sz w:val="28"/>
                <w:szCs w:val="28"/>
              </w:rPr>
            </w:pPr>
            <w:r>
              <w:rPr>
                <w:rFonts w:hint="eastAsia" w:ascii="仿宋" w:hAnsi="仿宋" w:eastAsia="仿宋"/>
                <w:sz w:val="28"/>
                <w:szCs w:val="28"/>
              </w:rPr>
              <w:t>19.搭建“藏戏大舞台”，实现每周都有藏戏演出、讲座等活动</w:t>
            </w:r>
            <w:r>
              <w:rPr>
                <w:rFonts w:hint="eastAsia" w:ascii="仿宋" w:hAnsi="仿宋" w:eastAsia="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400" w:lineRule="exact"/>
              <w:rPr>
                <w:rFonts w:hint="eastAsia" w:ascii="楷体_GB2312" w:eastAsia="楷体_GB2312"/>
                <w:sz w:val="32"/>
                <w:szCs w:val="32"/>
              </w:rPr>
            </w:pPr>
          </w:p>
          <w:p>
            <w:pPr>
              <w:spacing w:line="400" w:lineRule="exact"/>
              <w:rPr>
                <w:rFonts w:hint="eastAsia" w:ascii="楷体_GB2312" w:eastAsia="楷体_GB2312"/>
                <w:sz w:val="32"/>
                <w:szCs w:val="32"/>
              </w:rPr>
            </w:pPr>
          </w:p>
          <w:p>
            <w:pPr>
              <w:spacing w:line="400" w:lineRule="exact"/>
              <w:rPr>
                <w:rFonts w:hint="eastAsia" w:ascii="楷体_GB2312" w:eastAsia="楷体_GB2312"/>
                <w:sz w:val="32"/>
                <w:szCs w:val="32"/>
              </w:rPr>
            </w:pPr>
          </w:p>
          <w:p>
            <w:pPr>
              <w:spacing w:line="400" w:lineRule="exact"/>
              <w:rPr>
                <w:rFonts w:hint="eastAsia" w:ascii="楷体_GB2312" w:eastAsia="楷体_GB2312"/>
                <w:sz w:val="32"/>
                <w:szCs w:val="32"/>
              </w:rPr>
            </w:pPr>
          </w:p>
          <w:p>
            <w:pPr>
              <w:spacing w:line="400" w:lineRule="exact"/>
              <w:rPr>
                <w:rFonts w:hint="eastAsia" w:ascii="楷体" w:hAnsi="楷体" w:eastAsia="楷体"/>
                <w:sz w:val="32"/>
                <w:szCs w:val="32"/>
              </w:rPr>
            </w:pPr>
            <w:r>
              <w:rPr>
                <w:rFonts w:hint="eastAsia" w:ascii="楷体" w:hAnsi="楷体" w:eastAsia="楷体"/>
                <w:sz w:val="32"/>
                <w:szCs w:val="32"/>
              </w:rPr>
              <w:t>设施</w:t>
            </w:r>
          </w:p>
          <w:p>
            <w:pPr>
              <w:spacing w:line="400" w:lineRule="exact"/>
              <w:rPr>
                <w:rFonts w:hint="eastAsia" w:ascii="楷体" w:hAnsi="楷体" w:eastAsia="楷体"/>
                <w:sz w:val="32"/>
                <w:szCs w:val="32"/>
              </w:rPr>
            </w:pPr>
            <w:r>
              <w:rPr>
                <w:rFonts w:hint="eastAsia" w:ascii="楷体" w:hAnsi="楷体" w:eastAsia="楷体"/>
                <w:sz w:val="32"/>
                <w:szCs w:val="32"/>
              </w:rPr>
              <w:t>开放</w:t>
            </w:r>
          </w:p>
          <w:p>
            <w:pPr>
              <w:spacing w:line="400" w:lineRule="exact"/>
              <w:rPr>
                <w:rFonts w:hint="eastAsia" w:ascii="楷体_GB2312" w:eastAsia="楷体_GB2312"/>
                <w:sz w:val="32"/>
                <w:szCs w:val="32"/>
              </w:rPr>
            </w:pP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20.市级公共文化设施每周开放各不少于49小时；县综合文化活动中心每周开放不少于42小时；乡镇综合文化站每周开放各不少于35小时。公共文化设施免费开放实行错时开放，错时开放时间不少于总开放时间的1/3。</w:t>
            </w:r>
          </w:p>
          <w:p>
            <w:pPr>
              <w:spacing w:line="400" w:lineRule="exact"/>
              <w:rPr>
                <w:rFonts w:hint="eastAsia" w:ascii="仿宋" w:hAnsi="仿宋" w:eastAsia="仿宋"/>
                <w:sz w:val="28"/>
                <w:szCs w:val="28"/>
              </w:rPr>
            </w:pPr>
            <w:r>
              <w:rPr>
                <w:rFonts w:hint="eastAsia" w:ascii="仿宋" w:hAnsi="仿宋" w:eastAsia="仿宋"/>
                <w:sz w:val="28"/>
                <w:szCs w:val="28"/>
              </w:rPr>
              <w:t>21.县级以上通过政府购买的方式，提供公共体育场（馆）、全民健身活动场所免费开放时段，每周免费开放时段不少于8小时。</w:t>
            </w:r>
          </w:p>
          <w:p>
            <w:pPr>
              <w:spacing w:line="400" w:lineRule="exact"/>
              <w:rPr>
                <w:rFonts w:hint="eastAsia" w:ascii="仿宋" w:hAnsi="仿宋" w:eastAsia="仿宋"/>
                <w:sz w:val="28"/>
                <w:szCs w:val="28"/>
              </w:rPr>
            </w:pPr>
            <w:r>
              <w:rPr>
                <w:rFonts w:hint="eastAsia" w:ascii="仿宋" w:hAnsi="仿宋" w:eastAsia="仿宋"/>
                <w:sz w:val="28"/>
                <w:szCs w:val="28"/>
              </w:rPr>
              <w:t>22.未成年人、老年人、现役军人、残疾人和低收入人群参观文物单位实行门票减免，文化遗产日免费参观。</w:t>
            </w:r>
          </w:p>
          <w:p>
            <w:pPr>
              <w:spacing w:line="40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楷体" w:hAnsi="楷体" w:eastAsia="楷体"/>
                <w:sz w:val="32"/>
                <w:szCs w:val="32"/>
              </w:rPr>
            </w:pPr>
            <w:r>
              <w:rPr>
                <w:rFonts w:hint="eastAsia" w:ascii="楷体" w:hAnsi="楷体" w:eastAsia="楷体"/>
                <w:sz w:val="32"/>
                <w:szCs w:val="32"/>
              </w:rPr>
              <w:t>文体</w:t>
            </w:r>
          </w:p>
          <w:p>
            <w:pPr>
              <w:rPr>
                <w:rFonts w:hint="eastAsia" w:ascii="楷体" w:hAnsi="楷体" w:eastAsia="楷体"/>
                <w:sz w:val="32"/>
                <w:szCs w:val="32"/>
              </w:rPr>
            </w:pPr>
            <w:r>
              <w:rPr>
                <w:rFonts w:hint="eastAsia" w:ascii="楷体" w:hAnsi="楷体" w:eastAsia="楷体"/>
                <w:sz w:val="32"/>
                <w:szCs w:val="32"/>
              </w:rPr>
              <w:t>活动</w: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tc>
        <w:tc>
          <w:tcPr>
            <w:tcW w:w="7334" w:type="dxa"/>
            <w:noWrap w:val="0"/>
            <w:vAlign w:val="top"/>
          </w:tcPr>
          <w:p>
            <w:pPr>
              <w:spacing w:line="420" w:lineRule="exact"/>
              <w:rPr>
                <w:rFonts w:hint="eastAsia" w:ascii="仿宋" w:hAnsi="仿宋" w:eastAsia="仿宋"/>
                <w:sz w:val="28"/>
                <w:szCs w:val="28"/>
              </w:rPr>
            </w:pPr>
            <w:r>
              <w:rPr>
                <w:rFonts w:hint="eastAsia" w:ascii="仿宋" w:hAnsi="仿宋" w:eastAsia="仿宋"/>
                <w:sz w:val="28"/>
                <w:szCs w:val="28"/>
              </w:rPr>
              <w:t>23.市级公共图书馆年举办讲座不少于10次。</w:t>
            </w:r>
          </w:p>
          <w:p>
            <w:pPr>
              <w:spacing w:line="420" w:lineRule="exact"/>
              <w:rPr>
                <w:rFonts w:hint="eastAsia" w:ascii="仿宋" w:hAnsi="仿宋" w:eastAsia="仿宋"/>
                <w:sz w:val="28"/>
                <w:szCs w:val="28"/>
              </w:rPr>
            </w:pPr>
            <w:r>
              <w:rPr>
                <w:rFonts w:hint="eastAsia" w:ascii="仿宋" w:hAnsi="仿宋" w:eastAsia="仿宋"/>
                <w:sz w:val="28"/>
                <w:szCs w:val="28"/>
              </w:rPr>
              <w:t>24.市群艺馆年开展文化艺术普及和培训不少于50次，县综合文化活动中心各不少于12次，乡镇综合文化站各不少于10次。</w:t>
            </w:r>
          </w:p>
          <w:p>
            <w:pPr>
              <w:spacing w:line="420" w:lineRule="exact"/>
              <w:rPr>
                <w:rFonts w:hint="eastAsia" w:ascii="仿宋" w:hAnsi="仿宋" w:eastAsia="仿宋"/>
                <w:sz w:val="28"/>
                <w:szCs w:val="28"/>
              </w:rPr>
            </w:pPr>
            <w:r>
              <w:rPr>
                <w:rFonts w:hint="eastAsia" w:ascii="仿宋" w:hAnsi="仿宋" w:eastAsia="仿宋"/>
                <w:sz w:val="28"/>
                <w:szCs w:val="28"/>
              </w:rPr>
              <w:t>25.市群艺馆年组织群众文艺活动不少于12场，县综合文化活动中心各不少于10场，乡镇综合文化站各不少于6场。</w:t>
            </w:r>
          </w:p>
          <w:p>
            <w:pPr>
              <w:spacing w:line="420" w:lineRule="exact"/>
              <w:rPr>
                <w:rFonts w:hint="eastAsia" w:ascii="仿宋" w:hAnsi="仿宋" w:eastAsia="仿宋"/>
                <w:sz w:val="28"/>
                <w:szCs w:val="28"/>
              </w:rPr>
            </w:pPr>
            <w:r>
              <w:rPr>
                <w:rFonts w:hint="eastAsia" w:ascii="仿宋" w:hAnsi="仿宋" w:eastAsia="仿宋"/>
                <w:sz w:val="28"/>
                <w:szCs w:val="28"/>
              </w:rPr>
              <w:t>26.市级博物馆、群艺馆年举办临时展览各不少于5次，县（区）综合文化活动中心各不少于3次，乡镇综合文化站各不少于1次。</w:t>
            </w:r>
          </w:p>
          <w:p>
            <w:pPr>
              <w:spacing w:line="420" w:lineRule="exact"/>
              <w:rPr>
                <w:rFonts w:hint="eastAsia" w:ascii="仿宋" w:hAnsi="仿宋" w:eastAsia="仿宋"/>
                <w:sz w:val="28"/>
                <w:szCs w:val="28"/>
              </w:rPr>
            </w:pPr>
            <w:r>
              <w:rPr>
                <w:rFonts w:hint="eastAsia" w:ascii="仿宋" w:hAnsi="仿宋" w:eastAsia="仿宋"/>
                <w:sz w:val="28"/>
                <w:szCs w:val="28"/>
              </w:rPr>
              <w:t>27.城乡居民依托村（社区）综合文化服务中心、文体广场、公园、健身路径等公共设施就近参加各类文体活动。市级广场文体活动年各不少于150场，县级各不少于60场，乡镇各不少于20场。</w:t>
            </w:r>
          </w:p>
          <w:p>
            <w:pPr>
              <w:spacing w:line="420" w:lineRule="exact"/>
              <w:rPr>
                <w:rFonts w:hint="eastAsia" w:ascii="仿宋" w:hAnsi="仿宋" w:eastAsia="仿宋"/>
                <w:sz w:val="28"/>
                <w:szCs w:val="28"/>
              </w:rPr>
            </w:pPr>
            <w:r>
              <w:rPr>
                <w:rFonts w:hint="eastAsia" w:ascii="仿宋" w:hAnsi="仿宋" w:eastAsia="仿宋"/>
                <w:sz w:val="28"/>
                <w:szCs w:val="28"/>
              </w:rPr>
              <w:t>28.面向特殊群体开展的针对性文化服务，市级公共文化场所年各不少于2次，县乡文化场所年各不少于1次。</w:t>
            </w:r>
          </w:p>
          <w:p>
            <w:pPr>
              <w:spacing w:line="420" w:lineRule="exact"/>
              <w:rPr>
                <w:rFonts w:hint="eastAsia" w:ascii="仿宋" w:hAnsi="仿宋" w:eastAsia="仿宋"/>
                <w:sz w:val="28"/>
                <w:szCs w:val="28"/>
              </w:rPr>
            </w:pPr>
            <w:r>
              <w:rPr>
                <w:rFonts w:hint="eastAsia" w:ascii="仿宋" w:hAnsi="仿宋" w:eastAsia="仿宋"/>
                <w:sz w:val="28"/>
                <w:szCs w:val="28"/>
              </w:rPr>
              <w:t>29.县级以上（含县）形成1项有固定名称、特色内容、成届制、有影响的品牌文化活动。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楷体" w:hAnsi="楷体" w:eastAsia="楷体"/>
                <w:sz w:val="32"/>
                <w:szCs w:val="32"/>
              </w:rPr>
            </w:pPr>
            <w:r>
              <w:rPr>
                <w:rFonts w:hint="eastAsia" w:ascii="楷体" w:hAnsi="楷体" w:eastAsia="楷体"/>
                <w:sz w:val="32"/>
                <w:szCs w:val="32"/>
              </w:rPr>
              <w:t>数字</w:t>
            </w:r>
          </w:p>
          <w:p>
            <w:pPr>
              <w:rPr>
                <w:rFonts w:hint="eastAsia" w:ascii="楷体" w:hAnsi="楷体" w:eastAsia="楷体"/>
                <w:sz w:val="32"/>
                <w:szCs w:val="32"/>
              </w:rPr>
            </w:pPr>
            <w:r>
              <w:rPr>
                <w:rFonts w:hint="eastAsia" w:ascii="楷体" w:hAnsi="楷体" w:eastAsia="楷体"/>
                <w:sz w:val="32"/>
                <w:szCs w:val="32"/>
              </w:rPr>
              <w:t>服务</w:t>
            </w:r>
          </w:p>
          <w:p>
            <w:pPr>
              <w:rPr>
                <w:rFonts w:hint="eastAsia" w:ascii="黑体" w:eastAsia="黑体"/>
                <w:sz w:val="32"/>
                <w:szCs w:val="32"/>
              </w:rPr>
            </w:pPr>
          </w:p>
          <w:p>
            <w:pPr>
              <w:rPr>
                <w:rFonts w:hint="eastAsia" w:ascii="黑体" w:eastAsia="黑体"/>
                <w:sz w:val="32"/>
                <w:szCs w:val="32"/>
              </w:rPr>
            </w:pPr>
          </w:p>
        </w:tc>
        <w:tc>
          <w:tcPr>
            <w:tcW w:w="7334" w:type="dxa"/>
            <w:noWrap w:val="0"/>
            <w:vAlign w:val="top"/>
          </w:tcPr>
          <w:p>
            <w:pPr>
              <w:spacing w:line="420" w:lineRule="exact"/>
              <w:rPr>
                <w:rFonts w:hint="eastAsia" w:ascii="仿宋" w:hAnsi="仿宋" w:eastAsia="仿宋"/>
                <w:sz w:val="28"/>
                <w:szCs w:val="28"/>
              </w:rPr>
            </w:pPr>
            <w:r>
              <w:rPr>
                <w:rFonts w:hint="eastAsia" w:ascii="仿宋" w:hAnsi="仿宋" w:eastAsia="仿宋"/>
                <w:sz w:val="28"/>
                <w:szCs w:val="28"/>
              </w:rPr>
              <w:t>30.充分运用“西藏公共数字文化融合服务平台”，覆盖电脑、电视、手机等终端用户。</w:t>
            </w:r>
          </w:p>
          <w:p>
            <w:pPr>
              <w:spacing w:line="420" w:lineRule="exact"/>
              <w:rPr>
                <w:rFonts w:hint="eastAsia" w:ascii="仿宋" w:hAnsi="仿宋" w:eastAsia="仿宋"/>
                <w:sz w:val="28"/>
                <w:szCs w:val="28"/>
              </w:rPr>
            </w:pPr>
            <w:r>
              <w:rPr>
                <w:rFonts w:hint="eastAsia" w:ascii="仿宋" w:hAnsi="仿宋" w:eastAsia="仿宋"/>
                <w:sz w:val="28"/>
                <w:szCs w:val="28"/>
              </w:rPr>
              <w:t>31.市级公共文化机构建有面向群众的门户网站和移动服务平台，提供数字图书馆、数字博物馆、数字文化馆等服务。乡镇级以上（含乡镇级）公共文化机构设施内免费提供无线wifi服务。</w:t>
            </w:r>
          </w:p>
          <w:p>
            <w:pPr>
              <w:spacing w:line="420" w:lineRule="exact"/>
              <w:rPr>
                <w:rFonts w:hint="eastAsia" w:ascii="仿宋" w:hAnsi="仿宋" w:eastAsia="仿宋"/>
                <w:sz w:val="28"/>
                <w:szCs w:val="28"/>
              </w:rPr>
            </w:pPr>
            <w:r>
              <w:rPr>
                <w:rFonts w:hint="eastAsia" w:ascii="仿宋" w:hAnsi="仿宋" w:eastAsia="仿宋"/>
                <w:sz w:val="28"/>
                <w:szCs w:val="28"/>
              </w:rPr>
              <w:t>32.各级图书馆和县（区）、乡镇、村（社区）建有公共电子阅览室。</w:t>
            </w:r>
          </w:p>
          <w:p>
            <w:pPr>
              <w:spacing w:line="420" w:lineRule="exact"/>
              <w:rPr>
                <w:rFonts w:hint="eastAsia" w:ascii="仿宋" w:hAnsi="仿宋" w:eastAsia="仿宋"/>
                <w:sz w:val="28"/>
                <w:szCs w:val="28"/>
              </w:rPr>
            </w:pPr>
            <w:r>
              <w:rPr>
                <w:rFonts w:hint="eastAsia" w:ascii="仿宋" w:hAnsi="仿宋" w:eastAsia="仿宋"/>
                <w:sz w:val="28"/>
                <w:szCs w:val="28"/>
              </w:rPr>
              <w:t>33.在广播、电视、主流报纸和各级政府网站建立公共文化频道、专栏，提供数字化服务，</w:t>
            </w:r>
          </w:p>
          <w:p>
            <w:pPr>
              <w:spacing w:line="420" w:lineRule="exact"/>
              <w:rPr>
                <w:rFonts w:hint="eastAsia" w:ascii="仿宋" w:hAnsi="仿宋" w:eastAsia="仿宋"/>
                <w:sz w:val="28"/>
                <w:szCs w:val="28"/>
              </w:rPr>
            </w:pPr>
            <w:r>
              <w:rPr>
                <w:rFonts w:hint="eastAsia" w:ascii="仿宋" w:hAnsi="仿宋" w:eastAsia="仿宋"/>
                <w:sz w:val="28"/>
                <w:szCs w:val="28"/>
              </w:rPr>
              <w:t>34.有线（数字）电视、直播卫星、通信网络、互联网、手机电视等入户率不断提高。</w:t>
            </w:r>
          </w:p>
          <w:p>
            <w:pPr>
              <w:spacing w:line="420" w:lineRule="exact"/>
              <w:rPr>
                <w:rFonts w:hint="eastAsia" w:ascii="仿宋" w:hAnsi="仿宋" w:eastAsia="仿宋"/>
                <w:sz w:val="28"/>
                <w:szCs w:val="28"/>
              </w:rPr>
            </w:pPr>
            <w:r>
              <w:rPr>
                <w:rFonts w:hint="eastAsia" w:ascii="仿宋" w:hAnsi="仿宋" w:eastAsia="仿宋"/>
                <w:sz w:val="28"/>
                <w:szCs w:val="28"/>
              </w:rPr>
              <w:t>35.打造拉萨文化网、非物质文化遗产网、藏戏网。</w:t>
            </w:r>
          </w:p>
        </w:tc>
      </w:tr>
    </w:tbl>
    <w:p>
      <w:pPr>
        <w:rPr>
          <w:rFonts w:hint="eastAsia" w:ascii="黑体" w:eastAsia="黑体"/>
          <w:sz w:val="32"/>
          <w:szCs w:val="32"/>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noWrap w:val="0"/>
            <w:vAlign w:val="top"/>
          </w:tcPr>
          <w:p>
            <w:pPr>
              <w:rPr>
                <w:rFonts w:hint="eastAsia" w:ascii="仿宋_GB2312" w:eastAsia="仿宋_GB2312"/>
                <w:sz w:val="32"/>
                <w:szCs w:val="32"/>
              </w:rPr>
            </w:pPr>
          </w:p>
          <w:p>
            <w:pPr>
              <w:rPr>
                <w:rFonts w:hint="eastAsia" w:ascii="楷体" w:hAnsi="楷体" w:eastAsia="楷体"/>
                <w:sz w:val="32"/>
                <w:szCs w:val="32"/>
              </w:rPr>
            </w:pPr>
            <w:r>
              <w:rPr>
                <w:rFonts w:hint="eastAsia" w:ascii="楷体" w:hAnsi="楷体" w:eastAsia="楷体"/>
                <w:sz w:val="32"/>
                <w:szCs w:val="32"/>
              </w:rPr>
              <w:t>流动服务</w:t>
            </w:r>
          </w:p>
        </w:tc>
        <w:tc>
          <w:tcPr>
            <w:tcW w:w="7334" w:type="dxa"/>
            <w:noWrap w:val="0"/>
            <w:vAlign w:val="top"/>
          </w:tcPr>
          <w:p>
            <w:pPr>
              <w:spacing w:line="440" w:lineRule="exact"/>
              <w:rPr>
                <w:rFonts w:hint="eastAsia" w:ascii="仿宋" w:hAnsi="仿宋" w:eastAsia="仿宋"/>
                <w:sz w:val="32"/>
                <w:szCs w:val="32"/>
              </w:rPr>
            </w:pPr>
            <w:r>
              <w:rPr>
                <w:rFonts w:hint="eastAsia" w:ascii="仿宋" w:hAnsi="仿宋" w:eastAsia="仿宋"/>
                <w:sz w:val="28"/>
                <w:szCs w:val="28"/>
              </w:rPr>
              <w:t>36.市级公共文化机构年下基层（乡村、社区）流动服务不少于25次，县综合文化活动中心各不少于30次，乡镇文化站各不少于10次。</w:t>
            </w:r>
          </w:p>
        </w:tc>
      </w:tr>
    </w:tbl>
    <w:p>
      <w:pPr>
        <w:ind w:left="640"/>
        <w:rPr>
          <w:rFonts w:hint="eastAsia" w:ascii="黑体" w:eastAsia="黑体"/>
          <w:sz w:val="32"/>
          <w:szCs w:val="32"/>
        </w:rPr>
      </w:pPr>
      <w:r>
        <w:rPr>
          <w:rFonts w:hint="eastAsia" w:ascii="黑体" w:eastAsia="黑体"/>
          <w:sz w:val="32"/>
          <w:szCs w:val="32"/>
        </w:rPr>
        <w:t>二、设施设备</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 w:hAnsi="楷体" w:eastAsia="楷体"/>
                <w:sz w:val="32"/>
                <w:szCs w:val="32"/>
              </w:rPr>
            </w:pPr>
            <w:r>
              <w:rPr>
                <w:rFonts w:hint="eastAsia" w:ascii="楷体" w:hAnsi="楷体" w:eastAsia="楷体"/>
                <w:sz w:val="32"/>
                <w:szCs w:val="32"/>
              </w:rPr>
              <w:t>市级文化设施</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1.市所在地设立“三馆一场”（公共图书馆、群艺馆、博物馆和剧场）。若具备条件可设立公共美术馆、非遗展示馆等公共文化设施。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 w:hAnsi="楷体" w:eastAsia="楷体"/>
                <w:sz w:val="32"/>
                <w:szCs w:val="32"/>
              </w:rPr>
            </w:pPr>
          </w:p>
          <w:p>
            <w:pPr>
              <w:spacing w:line="580" w:lineRule="exact"/>
              <w:rPr>
                <w:rFonts w:hint="eastAsia" w:ascii="楷体" w:hAnsi="楷体" w:eastAsia="楷体"/>
                <w:sz w:val="32"/>
                <w:szCs w:val="32"/>
              </w:rPr>
            </w:pPr>
          </w:p>
          <w:p>
            <w:pPr>
              <w:spacing w:line="580" w:lineRule="exact"/>
              <w:rPr>
                <w:rFonts w:hint="eastAsia" w:ascii="楷体" w:hAnsi="楷体" w:eastAsia="楷体"/>
                <w:sz w:val="32"/>
                <w:szCs w:val="32"/>
              </w:rPr>
            </w:pPr>
            <w:r>
              <w:rPr>
                <w:rFonts w:hint="eastAsia" w:ascii="楷体" w:hAnsi="楷体" w:eastAsia="楷体"/>
                <w:sz w:val="32"/>
                <w:szCs w:val="32"/>
              </w:rPr>
              <w:t>县级文化设施</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2.县（区）政府所在地设置具有图书馆、文化馆功能的综合文化活动中心。设立图书阅览室、电子阅览室、培训教室、多媒体演示厅、排练室、娱乐活动室、展厅、多功能厅、健身房等功能。设立免费开放时间和内容公示栏。</w:t>
            </w:r>
          </w:p>
          <w:p>
            <w:pPr>
              <w:spacing w:line="440" w:lineRule="exact"/>
              <w:rPr>
                <w:rFonts w:hint="eastAsia" w:ascii="仿宋" w:hAnsi="仿宋" w:eastAsia="仿宋"/>
                <w:sz w:val="28"/>
                <w:szCs w:val="28"/>
              </w:rPr>
            </w:pPr>
            <w:r>
              <w:rPr>
                <w:rFonts w:hint="eastAsia" w:ascii="仿宋" w:hAnsi="仿宋" w:eastAsia="仿宋"/>
                <w:sz w:val="28"/>
                <w:szCs w:val="28"/>
              </w:rPr>
              <w:t>3.县综合文化活动中心配备不少于20套阅览桌椅、15组以上书架、25台以上上网电脑（接入不低于10兆的宽带）、30套以上培训桌椅、5种以上健身器材以及投影、音响、灯光等必备设备。</w:t>
            </w:r>
          </w:p>
          <w:p>
            <w:pPr>
              <w:spacing w:line="44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_GB2312" w:eastAsia="楷体_GB2312"/>
                <w:sz w:val="32"/>
                <w:szCs w:val="32"/>
              </w:rPr>
            </w:pPr>
          </w:p>
          <w:p>
            <w:pPr>
              <w:spacing w:line="580" w:lineRule="exact"/>
              <w:rPr>
                <w:rFonts w:hint="eastAsia" w:ascii="楷体_GB2312" w:eastAsia="楷体_GB2312"/>
                <w:sz w:val="32"/>
                <w:szCs w:val="32"/>
              </w:rPr>
            </w:pPr>
          </w:p>
          <w:p>
            <w:pPr>
              <w:spacing w:line="580" w:lineRule="exact"/>
              <w:rPr>
                <w:rFonts w:hint="eastAsia" w:ascii="楷体" w:hAnsi="楷体" w:eastAsia="楷体"/>
                <w:sz w:val="32"/>
                <w:szCs w:val="32"/>
              </w:rPr>
            </w:pPr>
            <w:r>
              <w:rPr>
                <w:rFonts w:hint="eastAsia" w:ascii="楷体" w:hAnsi="楷体" w:eastAsia="楷体"/>
                <w:sz w:val="32"/>
                <w:szCs w:val="32"/>
              </w:rPr>
              <w:t>乡镇文化设施</w:t>
            </w:r>
          </w:p>
          <w:p>
            <w:pPr>
              <w:spacing w:line="580" w:lineRule="exact"/>
              <w:rPr>
                <w:rFonts w:hint="eastAsia" w:ascii="楷体_GB2312" w:eastAsia="楷体_GB2312"/>
                <w:sz w:val="32"/>
                <w:szCs w:val="32"/>
              </w:rPr>
            </w:pPr>
          </w:p>
          <w:p>
            <w:pPr>
              <w:spacing w:line="580" w:lineRule="exact"/>
              <w:rPr>
                <w:rFonts w:hint="eastAsia" w:ascii="楷体_GB2312" w:eastAsia="楷体_GB2312"/>
                <w:sz w:val="32"/>
                <w:szCs w:val="32"/>
              </w:rPr>
            </w:pP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4.乡镇（街道、农林场）独立设置综合文化站。设立图书阅览室、培训教室、娱乐活动室、文化信息资源共享工程基层服务室、多功能厅、管理用房的功能。设立院墙、露天舞台、篮球场等附属设施。设立免费开放时间和内容公示栏。</w:t>
            </w:r>
          </w:p>
          <w:p>
            <w:pPr>
              <w:spacing w:line="440" w:lineRule="exact"/>
              <w:rPr>
                <w:rFonts w:hint="eastAsia" w:ascii="仿宋" w:hAnsi="仿宋" w:eastAsia="仿宋"/>
                <w:sz w:val="28"/>
                <w:szCs w:val="28"/>
              </w:rPr>
            </w:pPr>
            <w:r>
              <w:rPr>
                <w:rFonts w:hint="eastAsia" w:ascii="仿宋" w:hAnsi="仿宋" w:eastAsia="仿宋"/>
                <w:sz w:val="28"/>
                <w:szCs w:val="28"/>
              </w:rPr>
              <w:t>5.乡镇综合文化站配备不少于10套阅览桌椅、8组以上书架、6台以上上网电脑（接入不低于2兆的宽带）、15套以上培训桌椅、3种以上文体娱乐设备以及投影、音响、电视机等必备设备。</w:t>
            </w:r>
          </w:p>
          <w:p>
            <w:pPr>
              <w:spacing w:line="44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 w:hAnsi="楷体" w:eastAsia="楷体"/>
                <w:sz w:val="32"/>
                <w:szCs w:val="32"/>
              </w:rPr>
            </w:pPr>
            <w:r>
              <w:rPr>
                <w:rFonts w:hint="eastAsia" w:ascii="楷体" w:hAnsi="楷体" w:eastAsia="楷体"/>
                <w:sz w:val="32"/>
                <w:szCs w:val="32"/>
              </w:rPr>
              <w:t>行政村文化</w:t>
            </w:r>
          </w:p>
          <w:p>
            <w:pPr>
              <w:spacing w:line="580" w:lineRule="exact"/>
              <w:rPr>
                <w:rFonts w:hint="eastAsia" w:ascii="楷体_GB2312" w:eastAsia="楷体_GB2312"/>
                <w:sz w:val="32"/>
                <w:szCs w:val="32"/>
              </w:rPr>
            </w:pPr>
            <w:r>
              <w:rPr>
                <w:rFonts w:hint="eastAsia" w:ascii="楷体" w:hAnsi="楷体" w:eastAsia="楷体"/>
                <w:sz w:val="32"/>
                <w:szCs w:val="32"/>
              </w:rPr>
              <w:t>设施</w:t>
            </w:r>
          </w:p>
        </w:tc>
        <w:tc>
          <w:tcPr>
            <w:tcW w:w="7334" w:type="dxa"/>
            <w:noWrap w:val="0"/>
            <w:vAlign w:val="top"/>
          </w:tcPr>
          <w:p>
            <w:pPr>
              <w:spacing w:line="400" w:lineRule="exact"/>
              <w:rPr>
                <w:rFonts w:hint="eastAsia" w:ascii="仿宋" w:hAnsi="仿宋" w:eastAsia="仿宋"/>
                <w:spacing w:val="-6"/>
                <w:sz w:val="28"/>
                <w:szCs w:val="28"/>
              </w:rPr>
            </w:pPr>
            <w:r>
              <w:rPr>
                <w:rFonts w:hint="eastAsia" w:ascii="仿宋" w:hAnsi="仿宋" w:eastAsia="仿宋"/>
                <w:spacing w:val="-6"/>
                <w:sz w:val="28"/>
                <w:szCs w:val="28"/>
              </w:rPr>
              <w:t>6.在村（社区）统筹建设综合文化服务中心，达到“五个一”标准：1间多功能文化活动室、1间图书阅览室（含电子阅览）、1个文化广场、1套群众体育活动器材、1套简易音响等。村（社区）综合文化服务中心建筑面积不少于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_GB2312" w:eastAsia="楷体_GB2312"/>
                <w:sz w:val="32"/>
                <w:szCs w:val="32"/>
              </w:rPr>
            </w:pPr>
          </w:p>
          <w:p>
            <w:pPr>
              <w:spacing w:line="580" w:lineRule="exact"/>
              <w:rPr>
                <w:rFonts w:hint="eastAsia" w:ascii="楷体" w:hAnsi="楷体" w:eastAsia="楷体"/>
                <w:sz w:val="32"/>
                <w:szCs w:val="32"/>
              </w:rPr>
            </w:pPr>
            <w:r>
              <w:rPr>
                <w:rFonts w:hint="eastAsia" w:ascii="楷体" w:hAnsi="楷体" w:eastAsia="楷体"/>
                <w:sz w:val="32"/>
                <w:szCs w:val="32"/>
              </w:rPr>
              <w:t>新闻广电设施</w:t>
            </w:r>
          </w:p>
        </w:tc>
        <w:tc>
          <w:tcPr>
            <w:tcW w:w="7334" w:type="dxa"/>
            <w:noWrap w:val="0"/>
            <w:vAlign w:val="top"/>
          </w:tcPr>
          <w:p>
            <w:pPr>
              <w:spacing w:line="400" w:lineRule="exact"/>
              <w:rPr>
                <w:rFonts w:hint="eastAsia" w:ascii="仿宋" w:hAnsi="仿宋" w:eastAsia="仿宋"/>
                <w:spacing w:val="-6"/>
                <w:sz w:val="28"/>
                <w:szCs w:val="28"/>
              </w:rPr>
            </w:pPr>
            <w:r>
              <w:rPr>
                <w:rFonts w:hint="eastAsia" w:ascii="仿宋" w:hAnsi="仿宋" w:eastAsia="仿宋"/>
                <w:spacing w:val="-6"/>
                <w:sz w:val="28"/>
                <w:szCs w:val="28"/>
              </w:rPr>
              <w:t>7.县级以上设立广播电视播出机构和广播电视发射（监测）台。</w:t>
            </w:r>
          </w:p>
          <w:p>
            <w:pPr>
              <w:spacing w:line="400" w:lineRule="exact"/>
              <w:rPr>
                <w:rFonts w:hint="eastAsia" w:ascii="仿宋" w:hAnsi="仿宋" w:eastAsia="仿宋"/>
                <w:spacing w:val="-6"/>
                <w:sz w:val="28"/>
                <w:szCs w:val="28"/>
              </w:rPr>
            </w:pPr>
            <w:r>
              <w:rPr>
                <w:rFonts w:hint="eastAsia" w:ascii="仿宋" w:hAnsi="仿宋" w:eastAsia="仿宋"/>
                <w:spacing w:val="-6"/>
                <w:sz w:val="28"/>
                <w:szCs w:val="28"/>
              </w:rPr>
              <w:t>8.县级以上城市至少设置一座数字电影院，建设乡村电影“室外转室内”设施。</w:t>
            </w:r>
          </w:p>
          <w:p>
            <w:pPr>
              <w:spacing w:line="400" w:lineRule="exact"/>
              <w:rPr>
                <w:rFonts w:hint="eastAsia" w:ascii="仿宋" w:hAnsi="仿宋" w:eastAsia="仿宋"/>
                <w:sz w:val="28"/>
                <w:szCs w:val="28"/>
              </w:rPr>
            </w:pPr>
            <w:r>
              <w:rPr>
                <w:rFonts w:hint="eastAsia" w:ascii="仿宋" w:hAnsi="仿宋" w:eastAsia="仿宋"/>
                <w:spacing w:val="-6"/>
                <w:sz w:val="28"/>
                <w:szCs w:val="28"/>
              </w:rPr>
              <w:t>9.推进广播电视直播卫星“户户通”和“村村响”。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_GB2312" w:eastAsia="楷体_GB2312"/>
                <w:sz w:val="32"/>
                <w:szCs w:val="32"/>
              </w:rPr>
            </w:pPr>
          </w:p>
          <w:p>
            <w:pPr>
              <w:spacing w:line="580" w:lineRule="exact"/>
              <w:rPr>
                <w:rFonts w:hint="eastAsia" w:ascii="楷体_GB2312" w:eastAsia="楷体_GB2312"/>
                <w:sz w:val="32"/>
                <w:szCs w:val="32"/>
              </w:rPr>
            </w:pPr>
          </w:p>
          <w:p>
            <w:pPr>
              <w:spacing w:line="580" w:lineRule="exact"/>
              <w:rPr>
                <w:rFonts w:hint="eastAsia" w:ascii="楷体" w:hAnsi="楷体" w:eastAsia="楷体"/>
                <w:sz w:val="32"/>
                <w:szCs w:val="32"/>
              </w:rPr>
            </w:pPr>
            <w:r>
              <w:rPr>
                <w:rFonts w:hint="eastAsia" w:ascii="楷体" w:hAnsi="楷体" w:eastAsia="楷体"/>
                <w:sz w:val="32"/>
                <w:szCs w:val="32"/>
              </w:rPr>
              <w:t>体育</w:t>
            </w:r>
          </w:p>
          <w:p>
            <w:pPr>
              <w:spacing w:line="580" w:lineRule="exact"/>
              <w:rPr>
                <w:rFonts w:hint="eastAsia" w:ascii="楷体_GB2312" w:eastAsia="楷体_GB2312"/>
                <w:sz w:val="32"/>
                <w:szCs w:val="32"/>
              </w:rPr>
            </w:pPr>
            <w:r>
              <w:rPr>
                <w:rFonts w:hint="eastAsia" w:ascii="楷体" w:hAnsi="楷体" w:eastAsia="楷体"/>
                <w:sz w:val="32"/>
                <w:szCs w:val="32"/>
              </w:rPr>
              <w:t>设施</w:t>
            </w:r>
          </w:p>
        </w:tc>
        <w:tc>
          <w:tcPr>
            <w:tcW w:w="7334" w:type="dxa"/>
            <w:noWrap w:val="0"/>
            <w:vAlign w:val="top"/>
          </w:tcPr>
          <w:p>
            <w:pPr>
              <w:spacing w:line="400" w:lineRule="exact"/>
              <w:rPr>
                <w:rFonts w:hint="eastAsia" w:ascii="仿宋" w:hAnsi="仿宋" w:eastAsia="仿宋"/>
                <w:spacing w:val="-6"/>
                <w:sz w:val="28"/>
                <w:szCs w:val="28"/>
              </w:rPr>
            </w:pPr>
            <w:r>
              <w:rPr>
                <w:rFonts w:hint="eastAsia" w:ascii="仿宋" w:hAnsi="仿宋" w:eastAsia="仿宋"/>
                <w:spacing w:val="-6"/>
                <w:sz w:val="28"/>
                <w:szCs w:val="28"/>
              </w:rPr>
              <w:t>10.建成市级1场（容纳7000-10000人的体育场）、1馆（容纳1500-3000人的体育馆）</w:t>
            </w:r>
          </w:p>
          <w:p>
            <w:pPr>
              <w:spacing w:line="400" w:lineRule="exact"/>
              <w:rPr>
                <w:rFonts w:hint="eastAsia" w:ascii="仿宋" w:hAnsi="仿宋" w:eastAsia="仿宋"/>
                <w:spacing w:val="-6"/>
                <w:sz w:val="28"/>
                <w:szCs w:val="28"/>
              </w:rPr>
            </w:pPr>
            <w:r>
              <w:rPr>
                <w:rFonts w:hint="eastAsia" w:ascii="仿宋" w:hAnsi="仿宋" w:eastAsia="仿宋"/>
                <w:spacing w:val="-6"/>
                <w:sz w:val="28"/>
                <w:szCs w:val="28"/>
              </w:rPr>
              <w:t>11.60%的县建有县级公共体育场（包括400米塑胶跑道、田径场地、人造草坪、足球场地、单侧看台、室外篮球场、羽毛球场等。）30%的县建有登山健身步道。基本形成县县有小型健身活动中心（座位500人以内，可开展5项体育健身活动）。</w:t>
            </w:r>
          </w:p>
          <w:p>
            <w:pPr>
              <w:spacing w:line="400" w:lineRule="exact"/>
              <w:rPr>
                <w:rFonts w:hint="eastAsia" w:ascii="仿宋" w:hAnsi="仿宋" w:eastAsia="仿宋"/>
                <w:spacing w:val="-6"/>
                <w:sz w:val="28"/>
                <w:szCs w:val="28"/>
              </w:rPr>
            </w:pPr>
            <w:r>
              <w:rPr>
                <w:rFonts w:hint="eastAsia" w:ascii="仿宋" w:hAnsi="仿宋" w:eastAsia="仿宋"/>
                <w:spacing w:val="-6"/>
                <w:sz w:val="28"/>
                <w:szCs w:val="28"/>
              </w:rPr>
              <w:t>12.全市人均拥有全民健身公共体育设施面积达到1.8平方米。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spacing w:line="580" w:lineRule="exact"/>
              <w:rPr>
                <w:rFonts w:hint="eastAsia" w:ascii="楷体" w:hAnsi="楷体" w:eastAsia="楷体"/>
                <w:sz w:val="32"/>
                <w:szCs w:val="32"/>
              </w:rPr>
            </w:pPr>
            <w:r>
              <w:rPr>
                <w:rFonts w:hint="eastAsia" w:ascii="楷体" w:hAnsi="楷体" w:eastAsia="楷体"/>
                <w:sz w:val="32"/>
                <w:szCs w:val="32"/>
              </w:rPr>
              <w:t>辅助设施设备</w:t>
            </w: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13.各级公共文化设施为残障人士配备无障碍设施。</w:t>
            </w:r>
          </w:p>
          <w:p>
            <w:pPr>
              <w:spacing w:line="400" w:lineRule="exact"/>
              <w:rPr>
                <w:rFonts w:hint="eastAsia" w:ascii="仿宋" w:hAnsi="仿宋" w:eastAsia="仿宋"/>
                <w:spacing w:val="-6"/>
                <w:sz w:val="28"/>
                <w:szCs w:val="28"/>
              </w:rPr>
            </w:pPr>
            <w:r>
              <w:rPr>
                <w:rFonts w:hint="eastAsia" w:ascii="仿宋" w:hAnsi="仿宋" w:eastAsia="仿宋"/>
                <w:sz w:val="28"/>
                <w:szCs w:val="28"/>
              </w:rPr>
              <w:t>14.有条件的市、县（区）公共文化设施配备安全检查设备。</w:t>
            </w:r>
          </w:p>
        </w:tc>
      </w:tr>
    </w:tbl>
    <w:p>
      <w:pPr>
        <w:ind w:firstLine="660"/>
        <w:rPr>
          <w:rFonts w:hint="eastAsia" w:ascii="黑体" w:eastAsia="黑体"/>
          <w:sz w:val="32"/>
          <w:szCs w:val="32"/>
        </w:rPr>
      </w:pPr>
      <w:r>
        <w:rPr>
          <w:rFonts w:hint="eastAsia" w:ascii="黑体" w:eastAsia="黑体"/>
          <w:sz w:val="32"/>
          <w:szCs w:val="32"/>
        </w:rPr>
        <w:t>三、人员配备</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p>
          <w:p>
            <w:pPr>
              <w:rPr>
                <w:rFonts w:hint="eastAsia" w:ascii="楷体" w:hAnsi="楷体" w:eastAsia="楷体"/>
                <w:sz w:val="32"/>
                <w:szCs w:val="32"/>
              </w:rPr>
            </w:pPr>
            <w:r>
              <w:rPr>
                <w:rFonts w:hint="eastAsia" w:ascii="楷体" w:hAnsi="楷体" w:eastAsia="楷体"/>
                <w:sz w:val="32"/>
                <w:szCs w:val="32"/>
              </w:rPr>
              <w:t>人员</w:t>
            </w:r>
          </w:p>
          <w:p>
            <w:pPr>
              <w:rPr>
                <w:rFonts w:hint="eastAsia" w:ascii="楷体" w:hAnsi="楷体" w:eastAsia="楷体"/>
                <w:sz w:val="32"/>
                <w:szCs w:val="32"/>
              </w:rPr>
            </w:pPr>
            <w:r>
              <w:rPr>
                <w:rFonts w:hint="eastAsia" w:ascii="楷体" w:hAnsi="楷体" w:eastAsia="楷体"/>
                <w:sz w:val="32"/>
                <w:szCs w:val="32"/>
              </w:rPr>
              <w:t>配备</w:t>
            </w:r>
          </w:p>
          <w:p>
            <w:pPr>
              <w:rPr>
                <w:rFonts w:hint="eastAsia" w:ascii="黑体" w:eastAsia="黑体"/>
                <w:sz w:val="32"/>
                <w:szCs w:val="32"/>
              </w:rPr>
            </w:pPr>
          </w:p>
        </w:tc>
        <w:tc>
          <w:tcPr>
            <w:tcW w:w="7334" w:type="dxa"/>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1.落实图书馆、博物馆、群艺馆和县综合文化活动中心、乡镇综合文化站等公益性文化单位的机构和人员编制。为新建广播电视机构配备相应人员编制。县级配备专职体育工作人员，乡镇、村（社区）配备专管员。</w:t>
            </w:r>
          </w:p>
          <w:p>
            <w:pPr>
              <w:spacing w:line="400" w:lineRule="exact"/>
              <w:rPr>
                <w:rFonts w:hint="eastAsia" w:ascii="仿宋" w:hAnsi="仿宋" w:eastAsia="仿宋"/>
                <w:sz w:val="28"/>
                <w:szCs w:val="28"/>
              </w:rPr>
            </w:pPr>
            <w:r>
              <w:rPr>
                <w:rFonts w:hint="eastAsia" w:ascii="仿宋" w:hAnsi="仿宋" w:eastAsia="仿宋"/>
                <w:sz w:val="28"/>
                <w:szCs w:val="28"/>
              </w:rPr>
              <w:t>2.设立村（社区）公共文化服务岗位，配置每村（社区）至少1名公共财政补贴的工作人员。</w:t>
            </w:r>
          </w:p>
          <w:p>
            <w:pPr>
              <w:spacing w:line="400" w:lineRule="exact"/>
              <w:rPr>
                <w:rFonts w:hint="eastAsia" w:ascii="仿宋_GB2312" w:eastAsia="仿宋_GB2312"/>
                <w:sz w:val="28"/>
                <w:szCs w:val="28"/>
              </w:rPr>
            </w:pPr>
            <w:r>
              <w:rPr>
                <w:rFonts w:hint="eastAsia" w:ascii="仿宋" w:hAnsi="仿宋" w:eastAsia="仿宋"/>
                <w:sz w:val="28"/>
                <w:szCs w:val="28"/>
              </w:rPr>
              <w:t>3.各乡镇（街道）拥有不少于2支相对稳定的业余文艺队伍，各村（社区）拥有1支经常性农牧（居）民业余文化活动队伍。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noWrap w:val="0"/>
            <w:vAlign w:val="top"/>
          </w:tcPr>
          <w:p>
            <w:pPr>
              <w:rPr>
                <w:rFonts w:hint="eastAsia" w:ascii="黑体" w:eastAsia="黑体"/>
                <w:sz w:val="32"/>
                <w:szCs w:val="32"/>
              </w:rPr>
            </w:pPr>
          </w:p>
          <w:p>
            <w:pPr>
              <w:rPr>
                <w:rFonts w:hint="eastAsia" w:ascii="楷体" w:hAnsi="楷体" w:eastAsia="楷体"/>
                <w:sz w:val="32"/>
                <w:szCs w:val="32"/>
              </w:rPr>
            </w:pPr>
            <w:r>
              <w:rPr>
                <w:rFonts w:hint="eastAsia" w:ascii="楷体" w:hAnsi="楷体" w:eastAsia="楷体"/>
                <w:sz w:val="32"/>
                <w:szCs w:val="32"/>
              </w:rPr>
              <w:t>业务</w:t>
            </w:r>
          </w:p>
          <w:p>
            <w:pPr>
              <w:rPr>
                <w:rFonts w:hint="eastAsia" w:ascii="黑体" w:eastAsia="黑体"/>
                <w:sz w:val="32"/>
                <w:szCs w:val="32"/>
              </w:rPr>
            </w:pPr>
            <w:r>
              <w:rPr>
                <w:rFonts w:hint="eastAsia" w:ascii="楷体" w:hAnsi="楷体" w:eastAsia="楷体"/>
                <w:sz w:val="32"/>
                <w:szCs w:val="32"/>
              </w:rPr>
              <w:t>培训</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4.县级以上（含县级）公共文化机构从业人员每年参加脱产培训时间不少于15天。乡镇（街道）文化站专职人员每年参加集中培训时间不少于10天。农家书屋（寺庙书屋）管理员、村村通操管人员、农村电影放映人员、中波台专业技术人员每年参加集中培训不少于5天。</w:t>
            </w:r>
          </w:p>
        </w:tc>
      </w:tr>
    </w:tbl>
    <w:p>
      <w:pPr>
        <w:ind w:firstLine="660"/>
        <w:rPr>
          <w:rFonts w:hint="eastAsia" w:ascii="黑体" w:eastAsia="黑体"/>
          <w:sz w:val="32"/>
          <w:szCs w:val="32"/>
        </w:rPr>
      </w:pPr>
      <w:r>
        <w:rPr>
          <w:rFonts w:hint="eastAsia" w:ascii="黑体" w:eastAsia="黑体"/>
          <w:sz w:val="32"/>
          <w:szCs w:val="32"/>
        </w:rPr>
        <w:t>四、经费保障</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noWrap w:val="0"/>
            <w:vAlign w:val="top"/>
          </w:tcPr>
          <w:p>
            <w:pPr>
              <w:jc w:val="center"/>
              <w:rPr>
                <w:rFonts w:hint="eastAsia" w:ascii="黑体" w:eastAsia="黑体"/>
                <w:sz w:val="32"/>
                <w:szCs w:val="32"/>
              </w:rPr>
            </w:pPr>
            <w:r>
              <w:rPr>
                <w:rFonts w:hint="eastAsia" w:ascii="黑体" w:eastAsia="黑体"/>
                <w:sz w:val="32"/>
                <w:szCs w:val="32"/>
              </w:rPr>
              <w:t>内容</w:t>
            </w:r>
          </w:p>
        </w:tc>
        <w:tc>
          <w:tcPr>
            <w:tcW w:w="7334" w:type="dxa"/>
            <w:noWrap w:val="0"/>
            <w:vAlign w:val="top"/>
          </w:tcPr>
          <w:p>
            <w:pPr>
              <w:jc w:val="center"/>
              <w:rPr>
                <w:rFonts w:hint="eastAsia" w:ascii="黑体" w:eastAsia="黑体"/>
                <w:sz w:val="32"/>
                <w:szCs w:val="32"/>
              </w:rPr>
            </w:pPr>
            <w:r>
              <w:rPr>
                <w:rFonts w:hint="eastAsia" w:ascii="黑体" w:eastAsia="黑体"/>
                <w:sz w:val="32"/>
                <w:szCs w:val="3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noWrap w:val="0"/>
            <w:vAlign w:val="top"/>
          </w:tcPr>
          <w:p>
            <w:pPr>
              <w:rPr>
                <w:rFonts w:ascii="楷体" w:hAnsi="楷体" w:eastAsia="楷体"/>
                <w:sz w:val="32"/>
                <w:szCs w:val="32"/>
              </w:rPr>
            </w:pPr>
            <w:r>
              <w:rPr>
                <w:rFonts w:ascii="楷体" w:hAnsi="楷体" w:eastAsia="楷体"/>
                <w:sz w:val="32"/>
                <w:szCs w:val="32"/>
              </w:rPr>
              <w:t>硬件</w:t>
            </w:r>
          </w:p>
          <w:p>
            <w:pPr>
              <w:rPr>
                <w:rFonts w:hint="eastAsia" w:ascii="楷体_GB2312" w:eastAsia="楷体_GB2312"/>
                <w:sz w:val="32"/>
                <w:szCs w:val="32"/>
              </w:rPr>
            </w:pPr>
            <w:r>
              <w:rPr>
                <w:rFonts w:ascii="楷体" w:hAnsi="楷体" w:eastAsia="楷体"/>
                <w:sz w:val="32"/>
                <w:szCs w:val="32"/>
              </w:rPr>
              <w:t>设施</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1.新建、改建、扩建居民住宅区，应建设相配套的公共文</w:t>
            </w:r>
          </w:p>
          <w:p>
            <w:pPr>
              <w:spacing w:line="440" w:lineRule="exact"/>
              <w:rPr>
                <w:rFonts w:hint="eastAsia" w:ascii="仿宋" w:hAnsi="仿宋" w:eastAsia="仿宋"/>
                <w:sz w:val="28"/>
                <w:szCs w:val="28"/>
              </w:rPr>
            </w:pPr>
            <w:r>
              <w:rPr>
                <w:rFonts w:hint="eastAsia" w:ascii="仿宋" w:hAnsi="仿宋" w:eastAsia="仿宋"/>
                <w:sz w:val="28"/>
                <w:szCs w:val="28"/>
              </w:rPr>
              <w:t>化设施。从住房开放投资中提取一定比例的经费用于社区公共文化设施建设。</w:t>
            </w:r>
          </w:p>
          <w:p>
            <w:pPr>
              <w:spacing w:line="440" w:lineRule="exact"/>
              <w:rPr>
                <w:rFonts w:hint="eastAsia" w:ascii="仿宋" w:hAnsi="仿宋" w:eastAsia="仿宋"/>
                <w:sz w:val="28"/>
                <w:szCs w:val="28"/>
              </w:rPr>
            </w:pPr>
            <w:r>
              <w:rPr>
                <w:rFonts w:hint="eastAsia" w:ascii="仿宋" w:hAnsi="仿宋" w:eastAsia="仿宋"/>
                <w:sz w:val="28"/>
                <w:szCs w:val="28"/>
              </w:rPr>
              <w:t>2.保障公共文化机构设备更新、技术改造等必须经费。</w:t>
            </w:r>
          </w:p>
          <w:p>
            <w:pPr>
              <w:spacing w:line="44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noWrap w:val="0"/>
            <w:vAlign w:val="top"/>
          </w:tcPr>
          <w:p>
            <w:pPr>
              <w:rPr>
                <w:rFonts w:hint="eastAsia" w:ascii="楷体" w:hAnsi="楷体" w:eastAsia="楷体"/>
                <w:sz w:val="32"/>
                <w:szCs w:val="32"/>
              </w:rPr>
            </w:pPr>
            <w:r>
              <w:rPr>
                <w:rFonts w:hint="eastAsia" w:ascii="楷体" w:hAnsi="楷体" w:eastAsia="楷体"/>
                <w:sz w:val="32"/>
                <w:szCs w:val="32"/>
              </w:rPr>
              <w:t>基本</w:t>
            </w:r>
          </w:p>
          <w:p>
            <w:pPr>
              <w:rPr>
                <w:rFonts w:hint="eastAsia" w:ascii="楷体_GB2312" w:eastAsia="楷体_GB2312"/>
                <w:sz w:val="32"/>
                <w:szCs w:val="32"/>
              </w:rPr>
            </w:pPr>
            <w:r>
              <w:rPr>
                <w:rFonts w:hint="eastAsia" w:ascii="楷体" w:hAnsi="楷体" w:eastAsia="楷体"/>
                <w:sz w:val="32"/>
                <w:szCs w:val="32"/>
              </w:rPr>
              <w:t>服务</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3.设立市、县（区）两级公共文化服务体系建设专项资金，保障公共文化设施运行和基本公共文化服务。</w:t>
            </w:r>
          </w:p>
          <w:p>
            <w:pPr>
              <w:spacing w:line="44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noWrap w:val="0"/>
            <w:vAlign w:val="top"/>
          </w:tcPr>
          <w:p>
            <w:pPr>
              <w:rPr>
                <w:rFonts w:hint="eastAsia" w:ascii="楷体" w:hAnsi="楷体" w:eastAsia="楷体"/>
                <w:sz w:val="32"/>
                <w:szCs w:val="32"/>
              </w:rPr>
            </w:pPr>
            <w:r>
              <w:rPr>
                <w:rFonts w:hint="eastAsia" w:ascii="楷体" w:hAnsi="楷体" w:eastAsia="楷体"/>
                <w:sz w:val="32"/>
                <w:szCs w:val="32"/>
              </w:rPr>
              <w:t>人员</w:t>
            </w:r>
          </w:p>
          <w:p>
            <w:pPr>
              <w:rPr>
                <w:rFonts w:hint="eastAsia" w:ascii="楷体_GB2312" w:eastAsia="楷体_GB2312"/>
                <w:sz w:val="32"/>
                <w:szCs w:val="32"/>
              </w:rPr>
            </w:pPr>
            <w:r>
              <w:rPr>
                <w:rFonts w:hint="eastAsia" w:ascii="楷体" w:hAnsi="楷体" w:eastAsia="楷体"/>
                <w:sz w:val="32"/>
                <w:szCs w:val="32"/>
              </w:rPr>
              <w:t>经费</w:t>
            </w:r>
          </w:p>
        </w:tc>
        <w:tc>
          <w:tcPr>
            <w:tcW w:w="7334" w:type="dxa"/>
            <w:noWrap w:val="0"/>
            <w:vAlign w:val="top"/>
          </w:tcPr>
          <w:p>
            <w:pPr>
              <w:spacing w:line="440" w:lineRule="exact"/>
              <w:rPr>
                <w:rFonts w:hint="eastAsia" w:ascii="仿宋" w:hAnsi="仿宋" w:eastAsia="仿宋"/>
                <w:sz w:val="28"/>
                <w:szCs w:val="28"/>
              </w:rPr>
            </w:pPr>
            <w:r>
              <w:rPr>
                <w:rFonts w:hint="eastAsia" w:ascii="仿宋" w:hAnsi="仿宋" w:eastAsia="仿宋"/>
                <w:sz w:val="28"/>
                <w:szCs w:val="28"/>
              </w:rPr>
              <w:t>4.公共文化服务机构人员经费纳入本级财政预算。</w:t>
            </w:r>
          </w:p>
          <w:p>
            <w:pPr>
              <w:spacing w:line="440" w:lineRule="exact"/>
              <w:rPr>
                <w:rFonts w:hint="eastAsia" w:ascii="仿宋" w:hAnsi="仿宋" w:eastAsia="仿宋"/>
                <w:sz w:val="28"/>
                <w:szCs w:val="28"/>
              </w:rPr>
            </w:pPr>
            <w:r>
              <w:rPr>
                <w:rFonts w:hint="eastAsia" w:ascii="仿宋" w:hAnsi="仿宋" w:eastAsia="仿宋"/>
                <w:sz w:val="28"/>
                <w:szCs w:val="28"/>
              </w:rPr>
              <w:t>5.县级以上（含县级）政府购买公益性公共文化服务岗位的经费纳入财政预算。</w:t>
            </w:r>
          </w:p>
        </w:tc>
      </w:tr>
    </w:tbl>
    <w:p>
      <w:pPr>
        <w:rPr>
          <w:rFonts w:hint="eastAsia" w:ascii="黑体" w:eastAsia="黑体"/>
          <w:sz w:val="32"/>
          <w:szCs w:val="32"/>
        </w:rPr>
      </w:pPr>
      <w:r>
        <w:rPr>
          <w:rFonts w:hint="eastAsia" w:ascii="黑体" w:eastAsia="黑体"/>
          <w:sz w:val="32"/>
          <w:szCs w:val="32"/>
        </w:rPr>
        <w:t xml:space="preserve">  </w:t>
      </w:r>
    </w:p>
    <w:p>
      <w:pPr>
        <w:ind w:firstLine="660"/>
        <w:rPr>
          <w:rFonts w:hint="eastAsia" w:ascii="黑体" w:eastAsia="黑体"/>
          <w:sz w:val="32"/>
          <w:szCs w:val="32"/>
        </w:rPr>
      </w:pPr>
      <w:r>
        <w:rPr>
          <w:rFonts w:hint="eastAsia" w:ascii="黑体" w:eastAsia="黑体"/>
          <w:sz w:val="32"/>
          <w:szCs w:val="32"/>
        </w:rPr>
        <w:t>五、标准实施</w:t>
      </w:r>
    </w:p>
    <w:p>
      <w:pPr>
        <w:ind w:firstLine="660"/>
        <w:rPr>
          <w:rFonts w:hint="eastAsia" w:ascii="仿宋" w:hAnsi="仿宋" w:eastAsia="仿宋"/>
          <w:sz w:val="32"/>
          <w:szCs w:val="32"/>
        </w:rPr>
      </w:pPr>
      <w:r>
        <w:rPr>
          <w:rFonts w:hint="eastAsia" w:ascii="仿宋" w:hAnsi="仿宋" w:eastAsia="仿宋"/>
          <w:sz w:val="32"/>
          <w:szCs w:val="32"/>
        </w:rPr>
        <w:t>（一）本标准按照自治区颁布的指导标准制定，确定了我市基层公共文化服务项目、设施设备、人员配备、经费保障标准，明确了政府保障底线。各县（区）要根据拉萨市实施标准，结合当地群众需求、政府财力和文化特色，制定适合本县（区）的保障标准，并制定具体实施措施，推动建立以国家《指导标准》为基础，以自治区、拉萨市和县（区）实施标准为补充的基本公共文化服务保障标准体系。各县（区）的保障标准的具体指标应不低于拉萨市实施标准。</w:t>
      </w:r>
    </w:p>
    <w:p>
      <w:pPr>
        <w:ind w:firstLine="660"/>
        <w:rPr>
          <w:rFonts w:hint="eastAsia" w:ascii="仿宋" w:hAnsi="仿宋" w:eastAsia="仿宋"/>
          <w:sz w:val="32"/>
          <w:szCs w:val="32"/>
        </w:rPr>
      </w:pPr>
      <w:r>
        <w:rPr>
          <w:rFonts w:hint="eastAsia" w:ascii="仿宋" w:hAnsi="仿宋" w:eastAsia="仿宋"/>
          <w:sz w:val="32"/>
          <w:szCs w:val="32"/>
        </w:rPr>
        <w:t>（二）本标准从印发至日起开始实施。标准以县（区）为基本单位推进落实。各相关部门根据职能职责和任务分工，制定具体实施方案；各县（区）根据拉萨市实施标准和本地保障标准，明确具体落实措施、工作步骤和时间安排，确保标准实施工作科学、规范、有序开展。</w:t>
      </w:r>
    </w:p>
    <w:p>
      <w:pPr>
        <w:ind w:firstLine="660"/>
        <w:rPr>
          <w:rFonts w:hint="eastAsia" w:ascii="仿宋" w:hAnsi="仿宋" w:eastAsia="仿宋"/>
          <w:sz w:val="32"/>
          <w:szCs w:val="32"/>
        </w:rPr>
      </w:pPr>
      <w:r>
        <w:rPr>
          <w:rFonts w:hint="eastAsia" w:ascii="仿宋" w:hAnsi="仿宋" w:eastAsia="仿宋"/>
          <w:sz w:val="32"/>
          <w:szCs w:val="32"/>
        </w:rPr>
        <w:t>（三）县（区）政府要按照标准科学测算所需经费，将基本公共文化服务保障资金纳入财政预算，落实保障当地常住人口享有基本公共文化服务所需资金。</w:t>
      </w:r>
    </w:p>
    <w:p>
      <w:pPr>
        <w:ind w:firstLine="660"/>
        <w:rPr>
          <w:rFonts w:hint="eastAsia" w:ascii="仿宋" w:hAnsi="仿宋" w:eastAsia="仿宋"/>
          <w:sz w:val="32"/>
          <w:szCs w:val="32"/>
        </w:rPr>
      </w:pPr>
      <w:r>
        <w:rPr>
          <w:rFonts w:hint="eastAsia" w:ascii="仿宋" w:hAnsi="仿宋" w:eastAsia="仿宋"/>
          <w:sz w:val="32"/>
          <w:szCs w:val="32"/>
        </w:rPr>
        <w:t>（四）县级（含县级）以上党委、政府要把本标准的落实情况纳入对各级各部门的考核工作中，进行量化考评。市委、政府督察部门定期对各县（区）委、政府部门进行督导检查。各级文化行政部门要会同有关部门建立对标准实施情况的动态监测机制和绩效考评机制，加强督促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06C6D"/>
    <w:multiLevelType w:val="multilevel"/>
    <w:tmpl w:val="33306C6D"/>
    <w:lvl w:ilvl="0" w:tentative="0">
      <w:start w:val="1"/>
      <w:numFmt w:val="none"/>
      <w:lvlText w:val="一、"/>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A2FD4"/>
    <w:rsid w:val="349A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2019-09-27T07:35:00Z</dcterms:created>
  <dc:creator>金一</dc:creator>
  <cp:lastModifiedBy>金一</cp:lastModifiedBy>
  <dcterms:modified xsi:type="dcterms:W3CDTF">2019-09-27T07:35:57Z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