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DEF9C">
      <w:pPr>
        <w:pStyle w:val="2"/>
        <w:keepNext w:val="0"/>
        <w:keepLines w:val="0"/>
        <w:widowControl/>
        <w:suppressLineNumbers w:val="0"/>
        <w:spacing w:before="0" w:beforeAutospacing="0" w:after="0" w:afterAutospacing="0" w:line="555" w:lineRule="atLeast"/>
        <w:ind w:left="0" w:right="0"/>
        <w:jc w:val="center"/>
      </w:pPr>
      <w:r>
        <w:rPr>
          <w:rFonts w:hint="eastAsia" w:ascii="方正小标宋_GBK" w:hAnsi="方正小标宋_GBK" w:eastAsia="方正小标宋_GBK" w:cs="方正小标宋_GBK"/>
          <w:sz w:val="43"/>
          <w:szCs w:val="43"/>
          <w:lang w:eastAsia="zh-CN"/>
        </w:rPr>
        <w:t>拉萨</w:t>
      </w:r>
      <w:r>
        <w:rPr>
          <w:rFonts w:ascii="方正小标宋_GBK" w:hAnsi="方正小标宋_GBK" w:eastAsia="方正小标宋_GBK" w:cs="方正小标宋_GBK"/>
          <w:sz w:val="43"/>
          <w:szCs w:val="43"/>
        </w:rPr>
        <w:t>市文化和旅游局首违免罚事项清单</w:t>
      </w:r>
      <w:r>
        <w:rPr>
          <w:rFonts w:hint="eastAsia" w:ascii="方正小标宋_GBK" w:hAnsi="方正小标宋_GBK" w:eastAsia="方正小标宋_GBK" w:cs="方正小标宋_GBK"/>
          <w:sz w:val="43"/>
          <w:szCs w:val="43"/>
          <w:lang w:val="en-US" w:eastAsia="zh-CN"/>
        </w:rPr>
        <w:t xml:space="preserve">                                  </w:t>
      </w:r>
      <w:bookmarkStart w:id="0" w:name="_GoBack"/>
      <w:bookmarkEnd w:id="0"/>
      <w:r>
        <w:rPr>
          <w:rFonts w:ascii="方正小标宋_GBK" w:hAnsi="方正小标宋_GBK" w:eastAsia="方正小标宋_GBK" w:cs="方正小标宋_GBK"/>
          <w:sz w:val="43"/>
          <w:szCs w:val="43"/>
        </w:rPr>
        <w:t>（共1</w:t>
      </w:r>
      <w:r>
        <w:rPr>
          <w:rFonts w:hint="eastAsia" w:ascii="方正小标宋_GBK" w:hAnsi="方正小标宋_GBK" w:eastAsia="方正小标宋_GBK" w:cs="方正小标宋_GBK"/>
          <w:sz w:val="43"/>
          <w:szCs w:val="43"/>
          <w:lang w:val="en-US" w:eastAsia="zh-CN"/>
        </w:rPr>
        <w:t>4</w:t>
      </w:r>
      <w:r>
        <w:rPr>
          <w:rFonts w:ascii="方正小标宋_GBK" w:hAnsi="方正小标宋_GBK" w:eastAsia="方正小标宋_GBK" w:cs="方正小标宋_GBK"/>
          <w:sz w:val="43"/>
          <w:szCs w:val="43"/>
        </w:rPr>
        <w:t>项）</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5"/>
        <w:gridCol w:w="1741"/>
        <w:gridCol w:w="1474"/>
        <w:gridCol w:w="4230"/>
        <w:gridCol w:w="1054"/>
      </w:tblGrid>
      <w:tr w14:paraId="1E11CF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EB645C">
            <w:pPr>
              <w:pStyle w:val="2"/>
              <w:keepNext w:val="0"/>
              <w:keepLines w:val="0"/>
              <w:widowControl/>
              <w:suppressLineNumbers w:val="0"/>
              <w:spacing w:line="480" w:lineRule="atLeast"/>
              <w:jc w:val="center"/>
            </w:pPr>
            <w:r>
              <w:rPr>
                <w:rFonts w:ascii="黑体" w:hAnsi="宋体" w:eastAsia="黑体" w:cs="黑体"/>
                <w:sz w:val="31"/>
                <w:szCs w:val="31"/>
              </w:rPr>
              <w:t>序号</w:t>
            </w:r>
          </w:p>
        </w:tc>
        <w:tc>
          <w:tcPr>
            <w:tcW w:w="174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7C319F5">
            <w:pPr>
              <w:pStyle w:val="2"/>
              <w:keepNext w:val="0"/>
              <w:keepLines w:val="0"/>
              <w:widowControl/>
              <w:suppressLineNumbers w:val="0"/>
              <w:spacing w:line="480" w:lineRule="atLeast"/>
              <w:jc w:val="center"/>
            </w:pPr>
            <w:r>
              <w:rPr>
                <w:rFonts w:hint="eastAsia" w:ascii="黑体" w:hAnsi="宋体" w:eastAsia="黑体" w:cs="黑体"/>
                <w:sz w:val="31"/>
                <w:szCs w:val="31"/>
              </w:rPr>
              <w:t>处罚事项</w:t>
            </w:r>
          </w:p>
        </w:tc>
        <w:tc>
          <w:tcPr>
            <w:tcW w:w="147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C2FC4A0">
            <w:pPr>
              <w:pStyle w:val="2"/>
              <w:keepNext w:val="0"/>
              <w:keepLines w:val="0"/>
              <w:widowControl/>
              <w:suppressLineNumbers w:val="0"/>
              <w:spacing w:line="480" w:lineRule="atLeast"/>
              <w:jc w:val="center"/>
            </w:pPr>
            <w:r>
              <w:rPr>
                <w:rFonts w:hint="eastAsia" w:ascii="黑体" w:hAnsi="宋体" w:eastAsia="黑体" w:cs="黑体"/>
                <w:sz w:val="31"/>
                <w:szCs w:val="31"/>
              </w:rPr>
              <w:t>首违免罚的情形</w:t>
            </w:r>
          </w:p>
        </w:tc>
        <w:tc>
          <w:tcPr>
            <w:tcW w:w="42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E955738">
            <w:pPr>
              <w:pStyle w:val="2"/>
              <w:keepNext w:val="0"/>
              <w:keepLines w:val="0"/>
              <w:widowControl/>
              <w:suppressLineNumbers w:val="0"/>
              <w:spacing w:line="480" w:lineRule="atLeast"/>
              <w:jc w:val="center"/>
            </w:pPr>
            <w:r>
              <w:rPr>
                <w:rFonts w:hint="eastAsia" w:ascii="黑体" w:hAnsi="宋体" w:eastAsia="黑体" w:cs="黑体"/>
                <w:sz w:val="31"/>
                <w:szCs w:val="31"/>
              </w:rPr>
              <w:t>首违免罚的依据</w:t>
            </w:r>
          </w:p>
        </w:tc>
        <w:tc>
          <w:tcPr>
            <w:tcW w:w="105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1448F50">
            <w:pPr>
              <w:pStyle w:val="2"/>
              <w:keepNext w:val="0"/>
              <w:keepLines w:val="0"/>
              <w:widowControl/>
              <w:suppressLineNumbers w:val="0"/>
              <w:spacing w:line="480" w:lineRule="atLeast"/>
              <w:jc w:val="center"/>
            </w:pPr>
            <w:r>
              <w:rPr>
                <w:rFonts w:hint="eastAsia" w:ascii="黑体" w:hAnsi="宋体" w:eastAsia="黑体" w:cs="黑体"/>
                <w:sz w:val="31"/>
                <w:szCs w:val="31"/>
              </w:rPr>
              <w:t>配套监管措施</w:t>
            </w:r>
          </w:p>
        </w:tc>
      </w:tr>
      <w:tr w14:paraId="106DF6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E37A9BF">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1</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005B84B3">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互联网上网服务营业场所经营单位擅自停止实施经营管理技术措施的</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48FCB285">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79BA1862">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四）擅自停止实施经营管理技术措施的。</w:t>
            </w:r>
          </w:p>
          <w:p w14:paraId="77CA2860">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50C4842E">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39FC3D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26A28E5">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2</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6AF2EE7E">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互联网上网服务营业场所经营单位未悬挂《网络文化经营许可证》</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4279E189">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3FB79A12">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p w14:paraId="7CA1A76C">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50AB82B0">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317EA6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2D6C0D2">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3</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5043C146">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互联网上网服务营业场所经营单位未按规定核对、登记上网消费者的有效身份证件或者记录有关上网信息的</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5C7DAB78">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3A70A60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处罚依据：《互联网上网服务营业场所管理条例》 第三十</w:t>
            </w:r>
            <w:r>
              <w:rPr>
                <w:rFonts w:hint="eastAsia" w:ascii="宋体" w:hAnsi="宋体" w:eastAsia="宋体" w:cs="宋体"/>
                <w:sz w:val="19"/>
                <w:szCs w:val="19"/>
                <w:lang w:eastAsia="zh-CN"/>
              </w:rPr>
              <w:t>三</w:t>
            </w:r>
            <w:r>
              <w:rPr>
                <w:rFonts w:hint="eastAsia" w:ascii="宋体" w:hAnsi="宋体" w:eastAsia="宋体" w:cs="宋体"/>
                <w:sz w:val="19"/>
                <w:szCs w:val="19"/>
              </w:rPr>
              <w:t>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p w14:paraId="548D9FD1">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578D071D">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2C4B04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B1EC724">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4</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58DC7B85">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互联网上网服务营业场所经营单位变更名称、住所、法定代表人或者主要负责人、注册资本、网络地址或者终止经营活动，未向文化行政部门、公安机关办理有关手续或者备案的</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648DBF4C">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119C850B">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处罚依据：《互联网上网服务营业场所管理条例》 第三十</w:t>
            </w:r>
            <w:r>
              <w:rPr>
                <w:rFonts w:hint="eastAsia" w:ascii="宋体" w:hAnsi="宋体" w:eastAsia="宋体" w:cs="宋体"/>
                <w:sz w:val="19"/>
                <w:szCs w:val="19"/>
                <w:lang w:eastAsia="zh-CN"/>
              </w:rPr>
              <w:t>三</w:t>
            </w:r>
            <w:r>
              <w:rPr>
                <w:rFonts w:hint="eastAsia" w:ascii="宋体" w:hAnsi="宋体" w:eastAsia="宋体" w:cs="宋体"/>
                <w:sz w:val="19"/>
                <w:szCs w:val="19"/>
              </w:rPr>
              <w:t>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p w14:paraId="55900E37">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578EDC28">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514856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FD07402">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5</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715678CD">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娱乐场所变更有关事项，未按照本条例规定申请重新核发娱乐经营许可证的</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321BF017">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0172B820">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处罚依据：《娱乐场所管理条例》 第四十九条：娱乐场所违反本条例规定，有下列情形之一的，由县级人民政府文化主管部门责令改正，给予警告；情节严重的，责令停业整顿1个月至3个月：（一）变更有关事项，未按照本条例规定申请重新核发娱乐经营许可证的。</w:t>
            </w:r>
          </w:p>
          <w:p w14:paraId="3D126B74">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4061A0D7">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4A5783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D2F3E02">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6</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37FB7ADD">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娱乐场所在《娱乐场所管理条例》规定的禁止营业时间内营业的</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2145CB31">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783C89B6">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处罚依据：《娱乐场所管理条例》 第四十九条：娱乐场所违反本条例规定，有下列情形之一的，由县级人民政府文化主管部门责令改正，给予警告；情节严重的，责令停业整顿1个月至3个月：（二）在本条例规定的禁止营业时间内营业的。</w:t>
            </w:r>
          </w:p>
          <w:p w14:paraId="03B6C5E9">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498511F3">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26E99B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CE2479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7</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27426BCC">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娱乐场所从业人员在营业期间未统一着装并佩带工作标志的</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7DF8C09C">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7BF88EC1">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处罚依据：《娱乐场所管理条例》 第四十九条：娱乐场所违反本条例规定，有下列情形之一的，由县级人民政府文化主管部门责令改正，给予警告；情节严重的，责令停业整顿1个月至3个月：（三）从业人员在营业期间未统一着装并佩带工作标志的。</w:t>
            </w:r>
          </w:p>
          <w:p w14:paraId="47CA0DCD">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316F7946">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5F939E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ADB3C29">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8</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357A92BC">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娱乐场所未按照《娱乐场所管理条例》规定悬挂警示标志</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756EF444">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5D516B44">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处罚依据：《娱乐场所管理条例》 第五十一条：娱乐场所未按照本条例规定悬挂警示标志、未成年人禁入或者限入标志的，由县级人民政府文化主管部门、县级公安部门依据法定职权责令改正，给予警告。</w:t>
            </w:r>
          </w:p>
          <w:p w14:paraId="1806BE18">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27C4B210">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519E79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6BF0D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9</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0BC65C90">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旅行社设立分社未在规定期限内向分社所在地旅游行政管理部门备案</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7FA465D6">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6602E132">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处罚依据：《旅行社条例》 第五十条：违反本条例的规定，旅行社有下列情形之一的，由旅游行政管理部门责令改正；拒不改正的，处1万元以下的罚款：（二）设立分社未在规定期限内向分社所在地旅游行政管理部门备案的。</w:t>
            </w:r>
          </w:p>
          <w:p w14:paraId="4A3F5504">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4A55738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32EF21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B37C760">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10</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7708BAEB">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旅行社变更名称、经营场所、法定代表人等登记事项或者终止经营，未在规定期限内向原许可的旅游行政管理部门备案，换领或者交回旅行社业务经营许可证 。</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2E1E2E09">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380E4635">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处罚依据：《旅行社条例》 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w:t>
            </w:r>
          </w:p>
          <w:p w14:paraId="1D849339">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20934305">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08F24F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37E8740">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11</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6437989C">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旅行社不按照国家有关规定向旅游行政管理部门报送经营和财务信息等统计资料的</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07B74736">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0C2F230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处罚依据：《旅行社条例》 第五十条：违反本条例的规定，旅行社有下列情形之一的，由旅游行政管理部门责令改正；拒不改正的，处1万元以下的罚款：（三）不按照国家有关规定向旅游行政管理部门报送经营和财务信息等统计资料的。</w:t>
            </w:r>
          </w:p>
          <w:p w14:paraId="31C9A1DD">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083057EE">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08378A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A981AE9">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12</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344D976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旅行社及其分社、服务网点未悬挂旅行社业务经营许可证、备案登记证明</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0D963EF4">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7D84F70C">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处罚依据：《旅行社条例实施细则》 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第二十六条：旅行社及其分社、服务网点，应当将《旅行社业务经营许可证》、《旅行社分社备案登记证明》或者《旅行社服务网点备案登记证明》，与营业执照一起，悬挂在经营场所的显要位置。</w:t>
            </w:r>
          </w:p>
          <w:p w14:paraId="36C87F3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7403142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2DA3D3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8D1F2A3">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13</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2C43958D">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导游人员进行导游活动时未佩戴导游证的</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076CEE56">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508DB351">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处罚依据：《导游人员管理条例》 第二十一条：导游人员进行导游活动时未佩戴导游证的，由旅游行政部门责令改正；拒不改正的，处500元以下的罚款。</w:t>
            </w:r>
          </w:p>
          <w:p w14:paraId="60AA340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376DC141">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r w14:paraId="34D7E1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1C141F8">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14</w:t>
            </w:r>
          </w:p>
        </w:tc>
        <w:tc>
          <w:tcPr>
            <w:tcW w:w="1741" w:type="dxa"/>
            <w:tcBorders>
              <w:top w:val="nil"/>
              <w:left w:val="nil"/>
              <w:bottom w:val="single" w:color="auto" w:sz="6" w:space="0"/>
              <w:right w:val="single" w:color="auto" w:sz="6" w:space="0"/>
            </w:tcBorders>
            <w:shd w:val="clear" w:color="auto" w:fill="auto"/>
            <w:tcMar>
              <w:left w:w="105" w:type="dxa"/>
              <w:right w:w="105" w:type="dxa"/>
            </w:tcMar>
            <w:vAlign w:val="top"/>
          </w:tcPr>
          <w:p w14:paraId="57066C20">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导游未按期报告信息变更情况、未申请变更导游证信息的、更换导游身份标识的、未按规定参加培训</w:t>
            </w:r>
          </w:p>
        </w:tc>
        <w:tc>
          <w:tcPr>
            <w:tcW w:w="1474" w:type="dxa"/>
            <w:tcBorders>
              <w:top w:val="nil"/>
              <w:left w:val="nil"/>
              <w:bottom w:val="single" w:color="auto" w:sz="6" w:space="0"/>
              <w:right w:val="single" w:color="auto" w:sz="6" w:space="0"/>
            </w:tcBorders>
            <w:shd w:val="clear" w:color="auto" w:fill="auto"/>
            <w:tcMar>
              <w:left w:w="105" w:type="dxa"/>
              <w:right w:w="105" w:type="dxa"/>
            </w:tcMar>
            <w:vAlign w:val="top"/>
          </w:tcPr>
          <w:p w14:paraId="54B4544D">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初次违法且危害后果轻微,并及时改正的</w:t>
            </w:r>
          </w:p>
        </w:tc>
        <w:tc>
          <w:tcPr>
            <w:tcW w:w="4230" w:type="dxa"/>
            <w:tcBorders>
              <w:top w:val="nil"/>
              <w:left w:val="nil"/>
              <w:bottom w:val="single" w:color="auto" w:sz="6" w:space="0"/>
              <w:right w:val="single" w:color="auto" w:sz="6" w:space="0"/>
            </w:tcBorders>
            <w:shd w:val="clear" w:color="auto" w:fill="auto"/>
            <w:tcMar>
              <w:left w:w="105" w:type="dxa"/>
              <w:right w:w="105" w:type="dxa"/>
            </w:tcMar>
            <w:vAlign w:val="top"/>
          </w:tcPr>
          <w:p w14:paraId="6C7A9324">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处罚依据：《导游管理办法》 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p w14:paraId="784B1F24">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首违免罚依据：《中华人民共和国行政处罚法》第三十三条　违法行为轻微并及时改正，没有造成危害后果的，不予行政处罚。初次违法且危害后果轻微并及时改正的，可以不予行政处罚。</w:t>
            </w:r>
          </w:p>
        </w:tc>
        <w:tc>
          <w:tcPr>
            <w:tcW w:w="1054" w:type="dxa"/>
            <w:tcBorders>
              <w:top w:val="nil"/>
              <w:left w:val="nil"/>
              <w:bottom w:val="single" w:color="auto" w:sz="6" w:space="0"/>
              <w:right w:val="single" w:color="auto" w:sz="6" w:space="0"/>
            </w:tcBorders>
            <w:shd w:val="clear" w:color="auto" w:fill="auto"/>
            <w:tcMar>
              <w:left w:w="105" w:type="dxa"/>
              <w:right w:w="105" w:type="dxa"/>
            </w:tcMar>
            <w:vAlign w:val="top"/>
          </w:tcPr>
          <w:p w14:paraId="7BA9627A">
            <w:pPr>
              <w:pStyle w:val="2"/>
              <w:keepNext w:val="0"/>
              <w:keepLines w:val="0"/>
              <w:widowControl/>
              <w:suppressLineNumbers w:val="0"/>
              <w:spacing w:line="420" w:lineRule="atLeast"/>
              <w:jc w:val="both"/>
              <w:textAlignment w:val="center"/>
            </w:pPr>
            <w:r>
              <w:rPr>
                <w:rFonts w:hint="eastAsia" w:ascii="宋体" w:hAnsi="宋体" w:eastAsia="宋体" w:cs="宋体"/>
                <w:sz w:val="19"/>
                <w:szCs w:val="19"/>
              </w:rPr>
              <w:t>说服教育、行政告诫</w:t>
            </w:r>
          </w:p>
        </w:tc>
      </w:tr>
    </w:tbl>
    <w:p w14:paraId="3373E50D">
      <w:pPr>
        <w:pStyle w:val="2"/>
        <w:keepNext w:val="0"/>
        <w:keepLines w:val="0"/>
        <w:widowControl/>
        <w:suppressLineNumbers w:val="0"/>
        <w:spacing w:before="0" w:beforeAutospacing="0" w:after="0" w:afterAutospacing="0" w:line="420" w:lineRule="atLeast"/>
        <w:ind w:left="570" w:right="0" w:hanging="570" w:hangingChars="300"/>
        <w:textAlignment w:val="center"/>
      </w:pPr>
      <w:r>
        <w:rPr>
          <w:rFonts w:hint="eastAsia" w:ascii="宋体" w:hAnsi="宋体" w:eastAsia="宋体" w:cs="宋体"/>
          <w:sz w:val="19"/>
          <w:szCs w:val="19"/>
        </w:rPr>
        <w:t>说明：配套监管措施主要是包容观察、预警提示、容缺执法、说服教育、劝导示范、行政建议、行政指导、行政约谈、行政告诫、行政回访等方式。</w:t>
      </w:r>
    </w:p>
    <w:p w14:paraId="0C56BD4F">
      <w:pPr>
        <w:rPr>
          <w:rFonts w:hint="eastAsia"/>
          <w:lang w:eastAsia="zh-CN"/>
        </w:rPr>
      </w:pPr>
    </w:p>
    <w:p w14:paraId="2FDC3019">
      <w:pPr>
        <w:rPr>
          <w:rFonts w:hint="eastAsia"/>
          <w:lang w:eastAsia="zh-CN"/>
        </w:rPr>
      </w:pPr>
    </w:p>
    <w:p w14:paraId="481CF689">
      <w:pPr>
        <w:rPr>
          <w:rFonts w:hint="eastAsia"/>
          <w:lang w:eastAsia="zh-CN"/>
        </w:rPr>
      </w:pPr>
    </w:p>
    <w:p w14:paraId="40C666FC">
      <w:pPr>
        <w:rPr>
          <w:rFonts w:hint="eastAsia"/>
          <w:lang w:eastAsia="zh-CN"/>
        </w:rPr>
      </w:pPr>
    </w:p>
    <w:p w14:paraId="066A1275">
      <w:pPr>
        <w:rPr>
          <w:rFonts w:hint="eastAsia"/>
          <w:lang w:eastAsia="zh-CN"/>
        </w:rPr>
      </w:pPr>
    </w:p>
    <w:p w14:paraId="75EEB94B">
      <w:pPr>
        <w:rPr>
          <w:rFonts w:hint="eastAsia"/>
          <w:lang w:eastAsia="zh-CN"/>
        </w:rPr>
      </w:pPr>
    </w:p>
    <w:p w14:paraId="38C6EC33">
      <w:pPr>
        <w:rPr>
          <w:rFonts w:hint="eastAsia"/>
          <w:lang w:eastAsia="zh-CN"/>
        </w:rPr>
      </w:pPr>
    </w:p>
    <w:p w14:paraId="337E3210">
      <w:pPr>
        <w:rPr>
          <w:rFonts w:hint="eastAsia"/>
          <w:lang w:eastAsia="zh-CN"/>
        </w:rPr>
      </w:pPr>
    </w:p>
    <w:p w14:paraId="0B5D0769">
      <w:pPr>
        <w:rPr>
          <w:rFonts w:hint="eastAsia"/>
          <w:lang w:eastAsia="zh-CN"/>
        </w:rPr>
      </w:pPr>
    </w:p>
    <w:p w14:paraId="64A5B698">
      <w:pPr>
        <w:rPr>
          <w:rFonts w:hint="eastAsia"/>
          <w:lang w:eastAsia="zh-CN"/>
        </w:rPr>
      </w:pPr>
    </w:p>
    <w:p w14:paraId="3C78FAFE">
      <w:pPr>
        <w:rPr>
          <w:rFonts w:hint="eastAsia"/>
          <w:lang w:eastAsia="zh-CN"/>
        </w:rPr>
      </w:pPr>
    </w:p>
    <w:p w14:paraId="3B9B0155">
      <w:pPr>
        <w:rPr>
          <w:rFonts w:hint="eastAsia"/>
          <w:lang w:eastAsia="zh-CN"/>
        </w:rPr>
      </w:pPr>
    </w:p>
    <w:p w14:paraId="710B1DD2">
      <w:pPr>
        <w:rPr>
          <w:rFonts w:hint="eastAsia"/>
          <w:lang w:eastAsia="zh-CN"/>
        </w:rPr>
      </w:pPr>
    </w:p>
    <w:p w14:paraId="74CE3DB6"/>
    <w:sectPr>
      <w:pgSz w:w="11906" w:h="16838"/>
      <w:pgMar w:top="2268"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915CF"/>
    <w:rsid w:val="2469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2025-05-16T02:30:00Z</dcterms:created>
  <dc:creator>Maggie</dc:creator>
  <cp:lastModifiedBy>Maggie</cp:lastModifiedBy>
  <dcterms:modified xsi:type="dcterms:W3CDTF">2025-05-16T02:30:45Z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F04C30E16F6B4FD8B1BADB0DEC9757A1_11</vt:lpwstr>
  </property>
  <property fmtid="{D5CDD505-2E9C-101B-9397-08002B2CF9AE}" pid="4" name="KSOTemplateDocerSaveRecord">
    <vt:lpwstr>eyJoZGlkIjoiYTNiNjA3MDRmNTIwZWY5MTJhNGQ1YzY0MDA1YzlkM2YiLCJ1c2VySWQiOiI0MzEwMjIxOTcifQ==</vt:lpwstr>
  </property>
</Properties>
</file>